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077E7B" w14:textId="6F4F7740" w:rsidR="00610981" w:rsidRPr="009807BD" w:rsidRDefault="00610981" w:rsidP="00610981">
      <w:pPr>
        <w:tabs>
          <w:tab w:val="left" w:pos="4680"/>
        </w:tabs>
        <w:autoSpaceDE w:val="0"/>
        <w:autoSpaceDN w:val="0"/>
        <w:adjustRightInd w:val="0"/>
        <w:jc w:val="center"/>
        <w:rPr>
          <w:b/>
          <w:bCs/>
        </w:rPr>
      </w:pPr>
      <w:bookmarkStart w:id="0" w:name="_Hlk118715692"/>
      <w:r>
        <w:rPr>
          <w:b/>
          <w:bCs/>
        </w:rPr>
        <w:t xml:space="preserve">PUC PROJECT NO.  </w:t>
      </w:r>
      <w:r w:rsidR="00410FF4">
        <w:rPr>
          <w:b/>
          <w:bCs/>
        </w:rPr>
        <w:t>56517</w:t>
      </w:r>
    </w:p>
    <w:bookmarkEnd w:id="0"/>
    <w:p w14:paraId="528C3243" w14:textId="77777777" w:rsidR="00610981" w:rsidRDefault="00610981" w:rsidP="00610981">
      <w:pPr>
        <w:autoSpaceDE w:val="0"/>
        <w:autoSpaceDN w:val="0"/>
        <w:adjustRightInd w:val="0"/>
        <w:jc w:val="center"/>
        <w:rPr>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360"/>
        <w:gridCol w:w="4760"/>
      </w:tblGrid>
      <w:tr w:rsidR="00312819" w14:paraId="6DA09343" w14:textId="77777777" w:rsidTr="00312819">
        <w:tc>
          <w:tcPr>
            <w:tcW w:w="4230" w:type="dxa"/>
          </w:tcPr>
          <w:p w14:paraId="7541E151" w14:textId="33145446" w:rsidR="00312819" w:rsidRDefault="00312819" w:rsidP="00312819">
            <w:pPr>
              <w:autoSpaceDE w:val="0"/>
              <w:autoSpaceDN w:val="0"/>
              <w:adjustRightInd w:val="0"/>
              <w:jc w:val="left"/>
              <w:rPr>
                <w:b/>
                <w:bCs/>
              </w:rPr>
            </w:pPr>
            <w:r>
              <w:rPr>
                <w:b/>
                <w:bCs/>
              </w:rPr>
              <w:t>REVIEW OF ENERGY EFFICIENCY PLANNING</w:t>
            </w:r>
          </w:p>
        </w:tc>
        <w:tc>
          <w:tcPr>
            <w:tcW w:w="360" w:type="dxa"/>
          </w:tcPr>
          <w:p w14:paraId="7769F318" w14:textId="77777777" w:rsidR="00312819" w:rsidRDefault="00312819" w:rsidP="00610981">
            <w:pPr>
              <w:autoSpaceDE w:val="0"/>
              <w:autoSpaceDN w:val="0"/>
              <w:adjustRightInd w:val="0"/>
              <w:jc w:val="center"/>
              <w:rPr>
                <w:b/>
                <w:bCs/>
              </w:rPr>
            </w:pPr>
            <w:r w:rsidRPr="006A3C90">
              <w:rPr>
                <w:b/>
                <w:bCs/>
              </w:rPr>
              <w:t>§</w:t>
            </w:r>
          </w:p>
          <w:p w14:paraId="656301B3" w14:textId="77777777" w:rsidR="00312819" w:rsidRDefault="00312819" w:rsidP="00610981">
            <w:pPr>
              <w:autoSpaceDE w:val="0"/>
              <w:autoSpaceDN w:val="0"/>
              <w:adjustRightInd w:val="0"/>
              <w:jc w:val="center"/>
              <w:rPr>
                <w:b/>
                <w:bCs/>
              </w:rPr>
            </w:pPr>
            <w:r w:rsidRPr="006A3C90">
              <w:rPr>
                <w:b/>
                <w:bCs/>
              </w:rPr>
              <w:t>§</w:t>
            </w:r>
          </w:p>
          <w:p w14:paraId="7B6DE6C5" w14:textId="22450D51" w:rsidR="00312819" w:rsidRDefault="00312819" w:rsidP="00610981">
            <w:pPr>
              <w:autoSpaceDE w:val="0"/>
              <w:autoSpaceDN w:val="0"/>
              <w:adjustRightInd w:val="0"/>
              <w:jc w:val="center"/>
              <w:rPr>
                <w:b/>
                <w:bCs/>
              </w:rPr>
            </w:pPr>
            <w:r w:rsidRPr="006A3C90">
              <w:rPr>
                <w:b/>
                <w:bCs/>
              </w:rPr>
              <w:t>§</w:t>
            </w:r>
          </w:p>
        </w:tc>
        <w:tc>
          <w:tcPr>
            <w:tcW w:w="4760" w:type="dxa"/>
          </w:tcPr>
          <w:p w14:paraId="7596CA97" w14:textId="77777777" w:rsidR="00312819" w:rsidRDefault="00312819" w:rsidP="00610981">
            <w:pPr>
              <w:autoSpaceDE w:val="0"/>
              <w:autoSpaceDN w:val="0"/>
              <w:adjustRightInd w:val="0"/>
              <w:jc w:val="center"/>
              <w:rPr>
                <w:b/>
                <w:bCs/>
              </w:rPr>
            </w:pPr>
            <w:r>
              <w:rPr>
                <w:b/>
                <w:bCs/>
              </w:rPr>
              <w:t xml:space="preserve">PUBLIC UTILTY COMMISSION </w:t>
            </w:r>
          </w:p>
          <w:p w14:paraId="423B07A1" w14:textId="5C5CF7AF" w:rsidR="00312819" w:rsidRDefault="00312819" w:rsidP="00610981">
            <w:pPr>
              <w:autoSpaceDE w:val="0"/>
              <w:autoSpaceDN w:val="0"/>
              <w:adjustRightInd w:val="0"/>
              <w:jc w:val="center"/>
              <w:rPr>
                <w:b/>
                <w:bCs/>
              </w:rPr>
            </w:pPr>
            <w:r>
              <w:rPr>
                <w:b/>
                <w:bCs/>
              </w:rPr>
              <w:t>OF TEXAS</w:t>
            </w:r>
          </w:p>
        </w:tc>
      </w:tr>
    </w:tbl>
    <w:p w14:paraId="198D8005" w14:textId="77777777" w:rsidR="00312819" w:rsidRDefault="00312819" w:rsidP="00610981">
      <w:pPr>
        <w:autoSpaceDE w:val="0"/>
        <w:autoSpaceDN w:val="0"/>
        <w:adjustRightInd w:val="0"/>
        <w:jc w:val="center"/>
        <w:rPr>
          <w:b/>
          <w:bCs/>
        </w:rPr>
      </w:pPr>
    </w:p>
    <w:p w14:paraId="5BF55F2E" w14:textId="77777777" w:rsidR="00610981" w:rsidRDefault="00610981" w:rsidP="00610981">
      <w:pPr>
        <w:jc w:val="center"/>
        <w:rPr>
          <w:b/>
          <w:u w:val="single"/>
        </w:rPr>
      </w:pPr>
    </w:p>
    <w:p w14:paraId="1EDBC6E7" w14:textId="77777777" w:rsidR="00610981" w:rsidRPr="00A23A6D" w:rsidRDefault="00610981" w:rsidP="00610981">
      <w:pPr>
        <w:jc w:val="center"/>
        <w:rPr>
          <w:b/>
          <w:szCs w:val="24"/>
          <w:u w:val="single"/>
        </w:rPr>
      </w:pPr>
      <w:r w:rsidRPr="00A23A6D">
        <w:rPr>
          <w:b/>
          <w:szCs w:val="24"/>
          <w:u w:val="single"/>
        </w:rPr>
        <w:t>CITY OF HOUSTON’S INITIAL COMMENTS</w:t>
      </w:r>
    </w:p>
    <w:p w14:paraId="5B0E88FF" w14:textId="7595A48C" w:rsidR="00B33E2D" w:rsidRPr="00A23A6D" w:rsidRDefault="00B33E2D" w:rsidP="00B33E2D">
      <w:pPr>
        <w:jc w:val="center"/>
        <w:rPr>
          <w:b/>
          <w:szCs w:val="24"/>
        </w:rPr>
      </w:pPr>
    </w:p>
    <w:p w14:paraId="23FB0C09" w14:textId="740674BA" w:rsidR="00FB774E" w:rsidRPr="00A23A6D" w:rsidRDefault="00FB774E" w:rsidP="00FB774E">
      <w:pPr>
        <w:spacing w:line="480" w:lineRule="auto"/>
        <w:ind w:firstLine="720"/>
        <w:rPr>
          <w:szCs w:val="24"/>
        </w:rPr>
      </w:pPr>
      <w:r w:rsidRPr="00A23A6D">
        <w:rPr>
          <w:szCs w:val="24"/>
        </w:rPr>
        <w:t>The City of Houston (City or Houston) offers these comments in response to the Public Utility Commission (PUC or Commission) Staff’s memorandum dated April 23, 2024, in Project No. 56517 regarding Review of Energy Efficiency Planning. The following are Houston’s initial responses to Staff’s questions:</w:t>
      </w:r>
    </w:p>
    <w:p w14:paraId="0A0D933E" w14:textId="7C95C517" w:rsidR="00791FCE" w:rsidRPr="00A23A6D" w:rsidRDefault="00791FCE" w:rsidP="00446D3E">
      <w:pPr>
        <w:pStyle w:val="ListParagraph"/>
        <w:numPr>
          <w:ilvl w:val="0"/>
          <w:numId w:val="7"/>
        </w:numPr>
        <w:tabs>
          <w:tab w:val="left" w:pos="720"/>
        </w:tabs>
        <w:spacing w:line="250" w:lineRule="auto"/>
        <w:ind w:hanging="720"/>
        <w:rPr>
          <w:b/>
          <w:bCs/>
          <w:szCs w:val="24"/>
        </w:rPr>
      </w:pPr>
      <w:r w:rsidRPr="00A23A6D">
        <w:rPr>
          <w:b/>
          <w:bCs/>
          <w:szCs w:val="24"/>
        </w:rPr>
        <w:t>Should certain hours of the day be considered more valuable within the design of standard offer or targeted market-transformation programs offered by utilities? Please discuss your rationale in detail.</w:t>
      </w:r>
    </w:p>
    <w:p w14:paraId="45D658A3" w14:textId="77777777" w:rsidR="00791FCE" w:rsidRPr="00A23A6D" w:rsidRDefault="00791FCE" w:rsidP="00791FCE">
      <w:pPr>
        <w:ind w:firstLine="720"/>
        <w:rPr>
          <w:szCs w:val="24"/>
        </w:rPr>
      </w:pPr>
    </w:p>
    <w:p w14:paraId="15FF4ADE" w14:textId="77777777" w:rsidR="00654484" w:rsidRPr="00A23A6D" w:rsidRDefault="00791FCE" w:rsidP="00654484">
      <w:pPr>
        <w:spacing w:line="480" w:lineRule="auto"/>
        <w:ind w:firstLine="720"/>
        <w:rPr>
          <w:szCs w:val="24"/>
        </w:rPr>
      </w:pPr>
      <w:r w:rsidRPr="00A23A6D">
        <w:rPr>
          <w:szCs w:val="24"/>
        </w:rPr>
        <w:t>Yes, certain hours of the day should be considered more valuable within the design of standard offer or targeted market transformation programs offered by utilities.</w:t>
      </w:r>
      <w:r w:rsidRPr="00A23A6D">
        <w:rPr>
          <w:b/>
          <w:bCs/>
          <w:szCs w:val="24"/>
        </w:rPr>
        <w:t xml:space="preserve"> </w:t>
      </w:r>
      <w:r w:rsidRPr="00A23A6D">
        <w:rPr>
          <w:szCs w:val="24"/>
        </w:rPr>
        <w:t>The 2017 National Standard Practice Manual (NSPM) for Assessing the Cost Effectiveness of Energy Efficiency Resources addresses this issue in detail. Energy efficiency and demand response measures and programs can avoid capital and operating costs relating to the generation of electricity. Energy avoided costs “are the values of avoiding the generation or the purchase of electric energy (i.e., kilowatt-hours, or kWh) and/or natural gas resulting from investments in energy efficiency. The marginal cost of avoided energy can vary considerably by both season and time of day.</w:t>
      </w:r>
      <w:r w:rsidR="00654484" w:rsidRPr="00A23A6D">
        <w:rPr>
          <w:szCs w:val="24"/>
        </w:rPr>
        <w:t xml:space="preserve"> The load shapes of different efficiency resources—i.e., the portion of energy savings that occur during different seasons and different times of day—can also vary substantially. The value of avoided energy costs should account for such differences to the extent possible and practical”.</w:t>
      </w:r>
      <w:r w:rsidR="00654484" w:rsidRPr="00A23A6D">
        <w:rPr>
          <w:rStyle w:val="FootnoteReference"/>
          <w:szCs w:val="24"/>
        </w:rPr>
        <w:footnoteReference w:id="1"/>
      </w:r>
    </w:p>
    <w:p w14:paraId="400233F9" w14:textId="77777777" w:rsidR="009A7FAE" w:rsidRPr="00A23A6D" w:rsidRDefault="009A7FAE" w:rsidP="009A7FAE">
      <w:pPr>
        <w:spacing w:line="480" w:lineRule="auto"/>
        <w:ind w:firstLine="720"/>
        <w:rPr>
          <w:szCs w:val="24"/>
        </w:rPr>
      </w:pPr>
      <w:r w:rsidRPr="00A23A6D">
        <w:rPr>
          <w:szCs w:val="24"/>
        </w:rPr>
        <w:lastRenderedPageBreak/>
        <w:t xml:space="preserve">Some portion of the savings of energy efficiency and demand response resources will occur at times </w:t>
      </w:r>
      <w:proofErr w:type="gramStart"/>
      <w:r w:rsidRPr="00A23A6D">
        <w:rPr>
          <w:szCs w:val="24"/>
        </w:rPr>
        <w:t>that are coincident</w:t>
      </w:r>
      <w:proofErr w:type="gramEnd"/>
      <w:r w:rsidRPr="00A23A6D">
        <w:rPr>
          <w:szCs w:val="24"/>
        </w:rPr>
        <w:t xml:space="preserve"> with system peak demands. The NSPM states that “efficiency resources will reduce the amount of money that must be invested in electric generating capacity. The magnitude and type of that reduction will vary considerably from measure to measure, depending on the portion of energy savings that occur during times of system peak demand. Over the long term, efficiency programs can also defer or avoid the need for construction of baseload generation”.</w:t>
      </w:r>
      <w:r w:rsidRPr="00A23A6D">
        <w:rPr>
          <w:rStyle w:val="FootnoteReference"/>
          <w:szCs w:val="24"/>
        </w:rPr>
        <w:footnoteReference w:id="2"/>
      </w:r>
      <w:r w:rsidRPr="00A23A6D">
        <w:rPr>
          <w:szCs w:val="24"/>
        </w:rPr>
        <w:t xml:space="preserve"> These avoided costs are referred to avoided generation capacity costs.</w:t>
      </w:r>
    </w:p>
    <w:p w14:paraId="2F90B09F" w14:textId="70600510" w:rsidR="009A7FAE" w:rsidRPr="00A23A6D" w:rsidRDefault="009A7FAE" w:rsidP="009A7FAE">
      <w:pPr>
        <w:spacing w:line="480" w:lineRule="auto"/>
        <w:ind w:firstLine="720"/>
        <w:rPr>
          <w:szCs w:val="24"/>
        </w:rPr>
      </w:pPr>
      <w:r w:rsidRPr="00A23A6D">
        <w:rPr>
          <w:szCs w:val="24"/>
        </w:rPr>
        <w:t>The NSPM also notes that “electric utilities and/or electric system operators always plan to have at their disposal reserve capacity that can be deployed when a generator shuts down or there is some other form of disruption to the supply of generating capacity”.</w:t>
      </w:r>
      <w:r w:rsidRPr="00A23A6D">
        <w:rPr>
          <w:rStyle w:val="FootnoteReference"/>
          <w:szCs w:val="24"/>
        </w:rPr>
        <w:footnoteReference w:id="3"/>
      </w:r>
      <w:r w:rsidRPr="00A23A6D">
        <w:rPr>
          <w:szCs w:val="24"/>
        </w:rPr>
        <w:t xml:space="preserve"> Reserve requirements typically range from 7 to 25 percent and depend on the size of the utility system and its principal sources of generating capacity. When energy efficiency or demand response resources reduce the amount of generating capacity required for a utility system, they can also reduce the </w:t>
      </w:r>
      <w:proofErr w:type="gramStart"/>
      <w:r w:rsidRPr="00A23A6D">
        <w:rPr>
          <w:szCs w:val="24"/>
        </w:rPr>
        <w:t>amount</w:t>
      </w:r>
      <w:proofErr w:type="gramEnd"/>
      <w:r w:rsidRPr="00A23A6D">
        <w:rPr>
          <w:szCs w:val="24"/>
        </w:rPr>
        <w:t xml:space="preserve"> of reserves needed. The NSPM states that the “value of avoided reserves should either be included in estimates of avoided capacity costs or included separately”.</w:t>
      </w:r>
      <w:r w:rsidRPr="00A23A6D">
        <w:rPr>
          <w:rStyle w:val="FootnoteReference"/>
          <w:szCs w:val="24"/>
        </w:rPr>
        <w:footnoteReference w:id="4"/>
      </w:r>
    </w:p>
    <w:p w14:paraId="5CD4A372" w14:textId="63CAF29E" w:rsidR="001E41A2" w:rsidRPr="00A23A6D" w:rsidRDefault="009A7FAE" w:rsidP="009A7FAE">
      <w:pPr>
        <w:spacing w:line="480" w:lineRule="auto"/>
        <w:ind w:firstLine="720"/>
        <w:rPr>
          <w:szCs w:val="24"/>
        </w:rPr>
      </w:pPr>
      <w:r w:rsidRPr="00A23A6D">
        <w:rPr>
          <w:szCs w:val="24"/>
        </w:rPr>
        <w:t xml:space="preserve">Furthermore, Chapter 25 of the </w:t>
      </w:r>
      <w:r w:rsidR="00480B2B" w:rsidRPr="00A23A6D">
        <w:rPr>
          <w:szCs w:val="24"/>
        </w:rPr>
        <w:t>PUC</w:t>
      </w:r>
      <w:r w:rsidRPr="00A23A6D">
        <w:rPr>
          <w:szCs w:val="24"/>
        </w:rPr>
        <w:t xml:space="preserve">’s Substantive Rules </w:t>
      </w:r>
      <w:r w:rsidR="00480B2B" w:rsidRPr="00A23A6D">
        <w:rPr>
          <w:szCs w:val="24"/>
        </w:rPr>
        <w:t>a</w:t>
      </w:r>
      <w:r w:rsidRPr="00A23A6D">
        <w:rPr>
          <w:szCs w:val="24"/>
        </w:rPr>
        <w:t>pplicable to Electric Service Providers</w:t>
      </w:r>
      <w:r w:rsidR="0057018D" w:rsidRPr="00A23A6D">
        <w:rPr>
          <w:rStyle w:val="FootnoteReference"/>
          <w:szCs w:val="24"/>
        </w:rPr>
        <w:footnoteReference w:id="5"/>
      </w:r>
      <w:r w:rsidRPr="00A23A6D">
        <w:rPr>
          <w:szCs w:val="24"/>
        </w:rPr>
        <w:t xml:space="preserve"> specifies the cost effectiveness standard that applies to regulated electric utilities to determine the cost effectiveness of energy efficiency programs in Texas. This Chapter specifies that the benefits of such programs include avoided electric capacity costs and the avoided costs of electric energy. </w:t>
      </w:r>
    </w:p>
    <w:p w14:paraId="7BCA944D" w14:textId="4751E8AB" w:rsidR="001E41A2" w:rsidRPr="00A23A6D" w:rsidRDefault="001E41A2">
      <w:pPr>
        <w:spacing w:after="160" w:line="259" w:lineRule="auto"/>
        <w:jc w:val="left"/>
        <w:rPr>
          <w:szCs w:val="24"/>
        </w:rPr>
      </w:pPr>
    </w:p>
    <w:p w14:paraId="76572405" w14:textId="7E92ADE2" w:rsidR="009B4320" w:rsidRPr="00A23A6D" w:rsidRDefault="009B4320" w:rsidP="009B4320">
      <w:pPr>
        <w:pStyle w:val="ListParagraph"/>
        <w:numPr>
          <w:ilvl w:val="0"/>
          <w:numId w:val="7"/>
        </w:numPr>
        <w:tabs>
          <w:tab w:val="left" w:pos="720"/>
        </w:tabs>
        <w:spacing w:line="250" w:lineRule="auto"/>
        <w:ind w:hanging="720"/>
        <w:rPr>
          <w:b/>
          <w:bCs/>
          <w:szCs w:val="24"/>
        </w:rPr>
      </w:pPr>
      <w:r w:rsidRPr="00A23A6D">
        <w:rPr>
          <w:b/>
          <w:bCs/>
          <w:szCs w:val="24"/>
        </w:rPr>
        <w:lastRenderedPageBreak/>
        <w:t xml:space="preserve">What </w:t>
      </w:r>
      <w:r w:rsidR="0012483E" w:rsidRPr="00A23A6D">
        <w:rPr>
          <w:b/>
          <w:bCs/>
          <w:szCs w:val="24"/>
        </w:rPr>
        <w:t xml:space="preserve">metrics should be used to track the success of low-income and hard-to-reach programs under </w:t>
      </w:r>
      <w:r w:rsidR="00677F07" w:rsidRPr="00A23A6D">
        <w:rPr>
          <w:b/>
          <w:bCs/>
          <w:szCs w:val="24"/>
        </w:rPr>
        <w:t>16 Texas Administrative Code (TAC) §25.181</w:t>
      </w:r>
      <w:r w:rsidR="00460455" w:rsidRPr="00A23A6D">
        <w:rPr>
          <w:b/>
          <w:bCs/>
          <w:szCs w:val="24"/>
        </w:rPr>
        <w:t>?</w:t>
      </w:r>
    </w:p>
    <w:p w14:paraId="5811D536" w14:textId="77777777" w:rsidR="001E41A2" w:rsidRPr="00A23A6D" w:rsidRDefault="001E41A2" w:rsidP="001E41A2">
      <w:pPr>
        <w:pStyle w:val="Default"/>
        <w:ind w:firstLine="720"/>
        <w:jc w:val="both"/>
        <w:rPr>
          <w:rFonts w:ascii="Times New Roman" w:hAnsi="Times New Roman" w:cs="Times New Roman"/>
          <w:color w:val="auto"/>
        </w:rPr>
      </w:pPr>
    </w:p>
    <w:p w14:paraId="60A30F6C" w14:textId="60131B79" w:rsidR="009A7FAE" w:rsidRPr="00A23A6D" w:rsidRDefault="009A7FAE" w:rsidP="00A4510F">
      <w:pPr>
        <w:pStyle w:val="Default"/>
        <w:spacing w:line="480" w:lineRule="auto"/>
        <w:ind w:firstLine="720"/>
        <w:jc w:val="both"/>
        <w:rPr>
          <w:rFonts w:ascii="Times New Roman" w:hAnsi="Times New Roman" w:cs="Times New Roman"/>
          <w:color w:val="auto"/>
        </w:rPr>
      </w:pPr>
      <w:r w:rsidRPr="00A23A6D">
        <w:rPr>
          <w:rFonts w:ascii="Times New Roman" w:hAnsi="Times New Roman" w:cs="Times New Roman"/>
          <w:color w:val="auto"/>
        </w:rPr>
        <w:t>Chapter 25 of the PUC’s Substantive Rules Applicable to Electric Service Providers</w:t>
      </w:r>
      <w:r w:rsidR="003E4EBA" w:rsidRPr="00A23A6D">
        <w:rPr>
          <w:rStyle w:val="FootnoteReference"/>
          <w:rFonts w:ascii="Times New Roman" w:hAnsi="Times New Roman" w:cs="Times New Roman"/>
          <w:color w:val="auto"/>
        </w:rPr>
        <w:footnoteReference w:id="6"/>
      </w:r>
      <w:r w:rsidRPr="00A23A6D">
        <w:rPr>
          <w:rFonts w:ascii="Times New Roman" w:hAnsi="Times New Roman" w:cs="Times New Roman"/>
          <w:color w:val="auto"/>
        </w:rPr>
        <w:t xml:space="preserve"> lists detailed evaluation, </w:t>
      </w:r>
      <w:proofErr w:type="gramStart"/>
      <w:r w:rsidRPr="00A23A6D">
        <w:rPr>
          <w:rFonts w:ascii="Times New Roman" w:hAnsi="Times New Roman" w:cs="Times New Roman"/>
          <w:color w:val="auto"/>
        </w:rPr>
        <w:t>measurement</w:t>
      </w:r>
      <w:proofErr w:type="gramEnd"/>
      <w:r w:rsidRPr="00A23A6D">
        <w:rPr>
          <w:rFonts w:ascii="Times New Roman" w:hAnsi="Times New Roman" w:cs="Times New Roman"/>
          <w:color w:val="auto"/>
        </w:rPr>
        <w:t xml:space="preserve"> and verification (EM&amp;V) requirements for utility-administered energy efficiency programs. Houston recommends that </w:t>
      </w:r>
      <w:r w:rsidR="00C32A5B" w:rsidRPr="00A23A6D">
        <w:rPr>
          <w:rFonts w:ascii="Times New Roman" w:hAnsi="Times New Roman" w:cs="Times New Roman"/>
          <w:color w:val="auto"/>
        </w:rPr>
        <w:t xml:space="preserve">utilities subject </w:t>
      </w:r>
      <w:r w:rsidR="00DE5DD1" w:rsidRPr="00A23A6D">
        <w:rPr>
          <w:rFonts w:ascii="Times New Roman" w:hAnsi="Times New Roman" w:cs="Times New Roman"/>
          <w:color w:val="auto"/>
        </w:rPr>
        <w:t>to the EM&amp;V requirements listed in</w:t>
      </w:r>
      <w:r w:rsidR="00DE1908" w:rsidRPr="00A23A6D">
        <w:rPr>
          <w:rFonts w:ascii="Times New Roman" w:hAnsi="Times New Roman" w:cs="Times New Roman"/>
          <w:color w:val="auto"/>
        </w:rPr>
        <w:t xml:space="preserve"> </w:t>
      </w:r>
      <w:r w:rsidR="00DE1908" w:rsidRPr="00A23A6D">
        <w:rPr>
          <w:rFonts w:ascii="Times New Roman" w:hAnsi="Times New Roman" w:cs="Times New Roman"/>
        </w:rPr>
        <w:t>§25.181</w:t>
      </w:r>
      <w:r w:rsidR="00DE5DD1" w:rsidRPr="00A23A6D">
        <w:rPr>
          <w:rFonts w:ascii="Times New Roman" w:hAnsi="Times New Roman" w:cs="Times New Roman"/>
          <w:color w:val="auto"/>
        </w:rPr>
        <w:t xml:space="preserve"> </w:t>
      </w:r>
      <w:r w:rsidR="00DE1908" w:rsidRPr="00A23A6D">
        <w:rPr>
          <w:rFonts w:ascii="Times New Roman" w:hAnsi="Times New Roman" w:cs="Times New Roman"/>
          <w:color w:val="auto"/>
        </w:rPr>
        <w:t xml:space="preserve">continue to perform </w:t>
      </w:r>
      <w:r w:rsidR="00B27EE7" w:rsidRPr="00A23A6D">
        <w:rPr>
          <w:rFonts w:ascii="Times New Roman" w:hAnsi="Times New Roman" w:cs="Times New Roman"/>
          <w:color w:val="auto"/>
        </w:rPr>
        <w:t xml:space="preserve">the required </w:t>
      </w:r>
      <w:r w:rsidRPr="00A23A6D">
        <w:rPr>
          <w:rFonts w:ascii="Times New Roman" w:hAnsi="Times New Roman" w:cs="Times New Roman"/>
          <w:color w:val="auto"/>
        </w:rPr>
        <w:t xml:space="preserve">impact evaluations (to measure and report energy and demand savings) </w:t>
      </w:r>
      <w:r w:rsidR="00DE1908" w:rsidRPr="00A23A6D">
        <w:rPr>
          <w:rFonts w:ascii="Times New Roman" w:hAnsi="Times New Roman" w:cs="Times New Roman"/>
          <w:color w:val="auto"/>
        </w:rPr>
        <w:t xml:space="preserve">that </w:t>
      </w:r>
      <w:r w:rsidRPr="00A23A6D">
        <w:rPr>
          <w:rFonts w:ascii="Times New Roman" w:hAnsi="Times New Roman" w:cs="Times New Roman"/>
          <w:color w:val="auto"/>
        </w:rPr>
        <w:t xml:space="preserve">follow the International Performance Measurement and Verification </w:t>
      </w:r>
      <w:proofErr w:type="gramStart"/>
      <w:r w:rsidRPr="00A23A6D">
        <w:rPr>
          <w:rFonts w:ascii="Times New Roman" w:hAnsi="Times New Roman" w:cs="Times New Roman"/>
          <w:color w:val="auto"/>
        </w:rPr>
        <w:t>Protocol</w:t>
      </w:r>
      <w:proofErr w:type="gramEnd"/>
      <w:r w:rsidRPr="00A23A6D">
        <w:rPr>
          <w:rFonts w:ascii="Times New Roman" w:hAnsi="Times New Roman" w:cs="Times New Roman"/>
          <w:color w:val="auto"/>
        </w:rPr>
        <w:t xml:space="preserve"> or a protocol approved by the Commission, as required in Chapter 25 of the Rules.</w:t>
      </w:r>
      <w:r w:rsidR="00633D72" w:rsidRPr="00A23A6D">
        <w:rPr>
          <w:rFonts w:ascii="Times New Roman" w:hAnsi="Times New Roman" w:cs="Times New Roman"/>
          <w:color w:val="auto"/>
        </w:rPr>
        <w:t xml:space="preserve"> </w:t>
      </w:r>
      <w:r w:rsidR="00154BAD" w:rsidRPr="00A23A6D">
        <w:rPr>
          <w:rFonts w:ascii="Times New Roman" w:hAnsi="Times New Roman" w:cs="Times New Roman"/>
          <w:color w:val="auto"/>
        </w:rPr>
        <w:t>The EM&amp;V requirement in this section of the PUC’s Rules “</w:t>
      </w:r>
      <w:r w:rsidR="00154BAD" w:rsidRPr="00A23A6D">
        <w:rPr>
          <w:rFonts w:ascii="Times New Roman" w:hAnsi="Times New Roman" w:cs="Times New Roman"/>
        </w:rPr>
        <w:t xml:space="preserve">is to ensure that the programs are evaluated, measured, and verified using a consistent process that allows for accurate estimation of energy and demand impacts”. </w:t>
      </w:r>
      <w:r w:rsidR="00154BAD" w:rsidRPr="00A23A6D">
        <w:rPr>
          <w:rStyle w:val="FootnoteReference"/>
          <w:rFonts w:ascii="Times New Roman" w:hAnsi="Times New Roman" w:cs="Times New Roman"/>
        </w:rPr>
        <w:footnoteReference w:id="7"/>
      </w:r>
      <w:r w:rsidRPr="00A23A6D">
        <w:rPr>
          <w:rFonts w:ascii="Times New Roman" w:hAnsi="Times New Roman" w:cs="Times New Roman"/>
          <w:color w:val="auto"/>
        </w:rPr>
        <w:t xml:space="preserve"> </w:t>
      </w:r>
    </w:p>
    <w:p w14:paraId="6A938E34" w14:textId="02A34B6A" w:rsidR="009A7FAE" w:rsidRPr="00A23A6D" w:rsidRDefault="009A7FAE" w:rsidP="00A4510F">
      <w:pPr>
        <w:pStyle w:val="Default"/>
        <w:spacing w:line="480" w:lineRule="auto"/>
        <w:ind w:firstLine="720"/>
        <w:jc w:val="both"/>
        <w:rPr>
          <w:rFonts w:ascii="Times New Roman" w:hAnsi="Times New Roman" w:cs="Times New Roman"/>
          <w:color w:val="auto"/>
        </w:rPr>
      </w:pPr>
      <w:r w:rsidRPr="00A23A6D">
        <w:rPr>
          <w:rFonts w:ascii="Times New Roman" w:hAnsi="Times New Roman" w:cs="Times New Roman"/>
          <w:color w:val="auto"/>
        </w:rPr>
        <w:t>In addition to measuring and reporting program annual energy and demand savings</w:t>
      </w:r>
      <w:r w:rsidR="00C96CAE" w:rsidRPr="00A23A6D">
        <w:rPr>
          <w:rFonts w:ascii="Times New Roman" w:hAnsi="Times New Roman" w:cs="Times New Roman"/>
          <w:color w:val="auto"/>
        </w:rPr>
        <w:t xml:space="preserve"> for each program</w:t>
      </w:r>
      <w:r w:rsidRPr="00A23A6D">
        <w:rPr>
          <w:rFonts w:ascii="Times New Roman" w:hAnsi="Times New Roman" w:cs="Times New Roman"/>
          <w:color w:val="auto"/>
        </w:rPr>
        <w:t xml:space="preserve"> each year</w:t>
      </w:r>
      <w:r w:rsidR="00313A65" w:rsidRPr="00A23A6D">
        <w:rPr>
          <w:rFonts w:ascii="Times New Roman" w:hAnsi="Times New Roman" w:cs="Times New Roman"/>
          <w:color w:val="auto"/>
        </w:rPr>
        <w:t xml:space="preserve"> in </w:t>
      </w:r>
      <w:r w:rsidR="00E462FE" w:rsidRPr="00A23A6D">
        <w:rPr>
          <w:rFonts w:ascii="Times New Roman" w:hAnsi="Times New Roman" w:cs="Times New Roman"/>
          <w:color w:val="auto"/>
        </w:rPr>
        <w:t xml:space="preserve">PUC required </w:t>
      </w:r>
      <w:r w:rsidR="00313A65" w:rsidRPr="00A23A6D">
        <w:rPr>
          <w:rFonts w:ascii="Times New Roman" w:hAnsi="Times New Roman" w:cs="Times New Roman"/>
          <w:color w:val="auto"/>
        </w:rPr>
        <w:t>annual Energy Efficiency P</w:t>
      </w:r>
      <w:r w:rsidR="00B2639A" w:rsidRPr="00A23A6D">
        <w:rPr>
          <w:rFonts w:ascii="Times New Roman" w:hAnsi="Times New Roman" w:cs="Times New Roman"/>
          <w:color w:val="auto"/>
        </w:rPr>
        <w:t>lans and Reports (EEPRs)</w:t>
      </w:r>
      <w:r w:rsidRPr="00A23A6D">
        <w:rPr>
          <w:rFonts w:ascii="Times New Roman" w:hAnsi="Times New Roman" w:cs="Times New Roman"/>
          <w:color w:val="auto"/>
        </w:rPr>
        <w:t xml:space="preserve">, Houston recommends </w:t>
      </w:r>
      <w:r w:rsidR="00A336B1" w:rsidRPr="00A23A6D">
        <w:rPr>
          <w:rFonts w:ascii="Times New Roman" w:hAnsi="Times New Roman" w:cs="Times New Roman"/>
          <w:color w:val="auto"/>
        </w:rPr>
        <w:t xml:space="preserve">adding </w:t>
      </w:r>
      <w:r w:rsidRPr="00A23A6D">
        <w:rPr>
          <w:rFonts w:ascii="Times New Roman" w:hAnsi="Times New Roman" w:cs="Times New Roman"/>
          <w:color w:val="auto"/>
        </w:rPr>
        <w:t xml:space="preserve">the following </w:t>
      </w:r>
      <w:r w:rsidR="006C7985" w:rsidRPr="00A23A6D">
        <w:rPr>
          <w:rFonts w:ascii="Times New Roman" w:hAnsi="Times New Roman" w:cs="Times New Roman"/>
          <w:color w:val="auto"/>
        </w:rPr>
        <w:t>metrics to</w:t>
      </w:r>
      <w:r w:rsidR="00E462FE" w:rsidRPr="00A23A6D">
        <w:rPr>
          <w:rFonts w:ascii="Times New Roman" w:hAnsi="Times New Roman" w:cs="Times New Roman"/>
          <w:color w:val="auto"/>
        </w:rPr>
        <w:t xml:space="preserve"> the EEPRs and</w:t>
      </w:r>
      <w:r w:rsidRPr="00A23A6D">
        <w:rPr>
          <w:rFonts w:ascii="Times New Roman" w:hAnsi="Times New Roman" w:cs="Times New Roman"/>
          <w:color w:val="auto"/>
        </w:rPr>
        <w:t xml:space="preserve"> to track the success of low-income and hard-to reach programs:</w:t>
      </w:r>
    </w:p>
    <w:p w14:paraId="39C35747" w14:textId="5B3753E9" w:rsidR="009A7FAE" w:rsidRPr="00A23A6D" w:rsidRDefault="009A7FAE" w:rsidP="00B12542">
      <w:pPr>
        <w:pStyle w:val="Default"/>
        <w:numPr>
          <w:ilvl w:val="0"/>
          <w:numId w:val="8"/>
        </w:numPr>
        <w:tabs>
          <w:tab w:val="left" w:pos="1080"/>
        </w:tabs>
        <w:spacing w:line="480" w:lineRule="auto"/>
        <w:ind w:left="1080"/>
        <w:jc w:val="both"/>
        <w:rPr>
          <w:rFonts w:ascii="Times New Roman" w:hAnsi="Times New Roman" w:cs="Times New Roman"/>
          <w:color w:val="auto"/>
        </w:rPr>
      </w:pPr>
      <w:r w:rsidRPr="00A23A6D">
        <w:rPr>
          <w:rFonts w:ascii="Times New Roman" w:hAnsi="Times New Roman" w:cs="Times New Roman"/>
          <w:color w:val="auto"/>
        </w:rPr>
        <w:t xml:space="preserve">Program cost effectiveness test </w:t>
      </w:r>
      <w:r w:rsidR="00375E85" w:rsidRPr="00A23A6D">
        <w:rPr>
          <w:rFonts w:ascii="Times New Roman" w:hAnsi="Times New Roman" w:cs="Times New Roman"/>
          <w:color w:val="auto"/>
        </w:rPr>
        <w:t xml:space="preserve">for each program </w:t>
      </w:r>
      <w:r w:rsidRPr="00A23A6D">
        <w:rPr>
          <w:rFonts w:ascii="Times New Roman" w:hAnsi="Times New Roman" w:cs="Times New Roman"/>
          <w:color w:val="auto"/>
        </w:rPr>
        <w:t>each year according to the Chapter 25 cost effectiveness test</w:t>
      </w:r>
      <w:r w:rsidR="00E6699F" w:rsidRPr="00A23A6D">
        <w:rPr>
          <w:rFonts w:ascii="Times New Roman" w:hAnsi="Times New Roman" w:cs="Times New Roman"/>
          <w:color w:val="auto"/>
        </w:rPr>
        <w:t>.</w:t>
      </w:r>
      <w:r w:rsidR="00E26C74" w:rsidRPr="00A23A6D">
        <w:rPr>
          <w:rStyle w:val="FootnoteReference"/>
          <w:rFonts w:ascii="Times New Roman" w:hAnsi="Times New Roman" w:cs="Times New Roman"/>
          <w:color w:val="auto"/>
        </w:rPr>
        <w:footnoteReference w:id="8"/>
      </w:r>
    </w:p>
    <w:p w14:paraId="15F81856" w14:textId="05882B26" w:rsidR="009A7FAE" w:rsidRPr="00A23A6D" w:rsidRDefault="00966061" w:rsidP="00B12542">
      <w:pPr>
        <w:pStyle w:val="Default"/>
        <w:numPr>
          <w:ilvl w:val="0"/>
          <w:numId w:val="8"/>
        </w:numPr>
        <w:tabs>
          <w:tab w:val="left" w:pos="1080"/>
        </w:tabs>
        <w:spacing w:line="480" w:lineRule="auto"/>
        <w:ind w:left="1080"/>
        <w:jc w:val="both"/>
        <w:rPr>
          <w:rFonts w:ascii="Times New Roman" w:hAnsi="Times New Roman" w:cs="Times New Roman"/>
          <w:color w:val="auto"/>
        </w:rPr>
      </w:pPr>
      <w:r w:rsidRPr="00A23A6D">
        <w:rPr>
          <w:rFonts w:ascii="Times New Roman" w:hAnsi="Times New Roman" w:cs="Times New Roman"/>
          <w:color w:val="auto"/>
        </w:rPr>
        <w:t xml:space="preserve">Average </w:t>
      </w:r>
      <w:r w:rsidR="009A7FAE" w:rsidRPr="00A23A6D">
        <w:rPr>
          <w:rFonts w:ascii="Times New Roman" w:hAnsi="Times New Roman" w:cs="Times New Roman"/>
          <w:color w:val="auto"/>
        </w:rPr>
        <w:t>annual energy and demand savings per participant compared to pre-program estimates</w:t>
      </w:r>
      <w:r w:rsidRPr="00A23A6D">
        <w:rPr>
          <w:rFonts w:ascii="Times New Roman" w:hAnsi="Times New Roman" w:cs="Times New Roman"/>
          <w:color w:val="auto"/>
        </w:rPr>
        <w:t xml:space="preserve"> (this is average data for </w:t>
      </w:r>
      <w:r w:rsidR="00BB3364" w:rsidRPr="00A23A6D">
        <w:rPr>
          <w:rFonts w:ascii="Times New Roman" w:hAnsi="Times New Roman" w:cs="Times New Roman"/>
          <w:color w:val="auto"/>
        </w:rPr>
        <w:t xml:space="preserve">all </w:t>
      </w:r>
      <w:r w:rsidRPr="00A23A6D">
        <w:rPr>
          <w:rFonts w:ascii="Times New Roman" w:hAnsi="Times New Roman" w:cs="Times New Roman"/>
          <w:color w:val="auto"/>
        </w:rPr>
        <w:t>participants</w:t>
      </w:r>
      <w:r w:rsidR="00BB3364" w:rsidRPr="00A23A6D">
        <w:rPr>
          <w:rFonts w:ascii="Times New Roman" w:hAnsi="Times New Roman" w:cs="Times New Roman"/>
          <w:color w:val="auto"/>
        </w:rPr>
        <w:t xml:space="preserve"> as a group</w:t>
      </w:r>
      <w:r w:rsidRPr="00A23A6D">
        <w:rPr>
          <w:rFonts w:ascii="Times New Roman" w:hAnsi="Times New Roman" w:cs="Times New Roman"/>
          <w:color w:val="auto"/>
        </w:rPr>
        <w:t>, not individual customer data)</w:t>
      </w:r>
      <w:r w:rsidR="00E6699F" w:rsidRPr="00A23A6D">
        <w:rPr>
          <w:rFonts w:ascii="Times New Roman" w:hAnsi="Times New Roman" w:cs="Times New Roman"/>
          <w:color w:val="auto"/>
        </w:rPr>
        <w:t>.</w:t>
      </w:r>
    </w:p>
    <w:p w14:paraId="7B33DF2F" w14:textId="147CEDB0" w:rsidR="001705D8" w:rsidRPr="00A23A6D" w:rsidRDefault="009A7FAE" w:rsidP="00736608">
      <w:pPr>
        <w:pStyle w:val="Default"/>
        <w:numPr>
          <w:ilvl w:val="0"/>
          <w:numId w:val="8"/>
        </w:numPr>
        <w:tabs>
          <w:tab w:val="left" w:pos="1080"/>
        </w:tabs>
        <w:spacing w:line="480" w:lineRule="auto"/>
        <w:ind w:left="1080"/>
        <w:jc w:val="both"/>
        <w:rPr>
          <w:rFonts w:ascii="Times New Roman" w:hAnsi="Times New Roman" w:cs="Times New Roman"/>
          <w:color w:val="auto"/>
        </w:rPr>
      </w:pPr>
      <w:r w:rsidRPr="00A23A6D">
        <w:rPr>
          <w:rFonts w:ascii="Times New Roman" w:hAnsi="Times New Roman" w:cs="Times New Roman"/>
          <w:color w:val="auto"/>
        </w:rPr>
        <w:lastRenderedPageBreak/>
        <w:t>Number of program participants served each year compared to participation goal each year</w:t>
      </w:r>
      <w:r w:rsidR="002E2B8A" w:rsidRPr="00A23A6D">
        <w:rPr>
          <w:rFonts w:ascii="Times New Roman" w:hAnsi="Times New Roman" w:cs="Times New Roman"/>
          <w:color w:val="auto"/>
        </w:rPr>
        <w:t>.</w:t>
      </w:r>
    </w:p>
    <w:p w14:paraId="1193D682" w14:textId="17284F9E" w:rsidR="009A7FAE" w:rsidRPr="00A23A6D" w:rsidRDefault="009A7FAE" w:rsidP="001705D8">
      <w:pPr>
        <w:pStyle w:val="Default"/>
        <w:numPr>
          <w:ilvl w:val="0"/>
          <w:numId w:val="8"/>
        </w:numPr>
        <w:tabs>
          <w:tab w:val="left" w:pos="1080"/>
        </w:tabs>
        <w:spacing w:line="480" w:lineRule="auto"/>
        <w:ind w:left="1080"/>
        <w:jc w:val="both"/>
        <w:rPr>
          <w:rFonts w:ascii="Times New Roman" w:hAnsi="Times New Roman" w:cs="Times New Roman"/>
          <w:color w:val="auto"/>
        </w:rPr>
      </w:pPr>
      <w:r w:rsidRPr="00A23A6D">
        <w:rPr>
          <w:rFonts w:ascii="Times New Roman" w:hAnsi="Times New Roman" w:cs="Times New Roman"/>
          <w:color w:val="auto"/>
        </w:rPr>
        <w:t>Utility cost per participant each year compared to pre-program estimates</w:t>
      </w:r>
      <w:r w:rsidR="002E2B8A" w:rsidRPr="00A23A6D">
        <w:rPr>
          <w:rFonts w:ascii="Times New Roman" w:hAnsi="Times New Roman" w:cs="Times New Roman"/>
          <w:color w:val="auto"/>
        </w:rPr>
        <w:t>.</w:t>
      </w:r>
    </w:p>
    <w:p w14:paraId="6F9905F3" w14:textId="40C37CDB" w:rsidR="009A7FAE" w:rsidRPr="00A23A6D" w:rsidRDefault="009A7FAE" w:rsidP="001705D8">
      <w:pPr>
        <w:pStyle w:val="Default"/>
        <w:numPr>
          <w:ilvl w:val="0"/>
          <w:numId w:val="8"/>
        </w:numPr>
        <w:tabs>
          <w:tab w:val="left" w:pos="1080"/>
        </w:tabs>
        <w:spacing w:line="480" w:lineRule="auto"/>
        <w:ind w:left="1080"/>
        <w:jc w:val="both"/>
        <w:rPr>
          <w:rFonts w:ascii="Times New Roman" w:hAnsi="Times New Roman" w:cs="Times New Roman"/>
          <w:color w:val="auto"/>
        </w:rPr>
      </w:pPr>
      <w:r w:rsidRPr="00A23A6D">
        <w:rPr>
          <w:rFonts w:ascii="Times New Roman" w:hAnsi="Times New Roman" w:cs="Times New Roman"/>
          <w:color w:val="auto"/>
        </w:rPr>
        <w:t>Percent of the eligible market served each year</w:t>
      </w:r>
      <w:r w:rsidR="002E2B8A" w:rsidRPr="00A23A6D">
        <w:rPr>
          <w:rFonts w:ascii="Times New Roman" w:hAnsi="Times New Roman" w:cs="Times New Roman"/>
          <w:color w:val="auto"/>
        </w:rPr>
        <w:t>.</w:t>
      </w:r>
    </w:p>
    <w:p w14:paraId="5C863B7A" w14:textId="2699B899" w:rsidR="009A7FAE" w:rsidRPr="00A23A6D" w:rsidRDefault="009A7FAE" w:rsidP="001705D8">
      <w:pPr>
        <w:pStyle w:val="Default"/>
        <w:numPr>
          <w:ilvl w:val="0"/>
          <w:numId w:val="8"/>
        </w:numPr>
        <w:tabs>
          <w:tab w:val="left" w:pos="1080"/>
        </w:tabs>
        <w:spacing w:line="480" w:lineRule="auto"/>
        <w:ind w:left="1080"/>
        <w:jc w:val="both"/>
        <w:rPr>
          <w:rFonts w:ascii="Times New Roman" w:hAnsi="Times New Roman" w:cs="Times New Roman"/>
          <w:color w:val="auto"/>
        </w:rPr>
      </w:pPr>
      <w:r w:rsidRPr="00A23A6D">
        <w:rPr>
          <w:rFonts w:ascii="Times New Roman" w:hAnsi="Times New Roman" w:cs="Times New Roman"/>
          <w:color w:val="auto"/>
        </w:rPr>
        <w:t>Progress in addressing market barriers that have been identified for the program</w:t>
      </w:r>
      <w:r w:rsidR="002E2B8A" w:rsidRPr="00A23A6D">
        <w:rPr>
          <w:rFonts w:ascii="Times New Roman" w:hAnsi="Times New Roman" w:cs="Times New Roman"/>
          <w:color w:val="auto"/>
        </w:rPr>
        <w:t>.</w:t>
      </w:r>
    </w:p>
    <w:p w14:paraId="13B9D3E0" w14:textId="681D49B4" w:rsidR="00022077" w:rsidRPr="00A23A6D" w:rsidRDefault="004C5A7C" w:rsidP="00A4510F">
      <w:pPr>
        <w:pStyle w:val="Default"/>
        <w:tabs>
          <w:tab w:val="left" w:pos="720"/>
        </w:tabs>
        <w:spacing w:line="480" w:lineRule="auto"/>
        <w:ind w:firstLine="720"/>
        <w:jc w:val="both"/>
        <w:rPr>
          <w:rFonts w:ascii="Times New Roman" w:hAnsi="Times New Roman" w:cs="Times New Roman"/>
          <w:color w:val="auto"/>
        </w:rPr>
      </w:pPr>
      <w:r w:rsidRPr="00A23A6D">
        <w:rPr>
          <w:rFonts w:ascii="Times New Roman" w:hAnsi="Times New Roman" w:cs="Times New Roman"/>
          <w:color w:val="auto"/>
        </w:rPr>
        <w:t xml:space="preserve">The six metrics for low-income and hard-to-reach programs listed above are not currently reported in utility annual </w:t>
      </w:r>
      <w:r w:rsidR="00D85809" w:rsidRPr="00A23A6D">
        <w:rPr>
          <w:rFonts w:ascii="Times New Roman" w:hAnsi="Times New Roman" w:cs="Times New Roman"/>
          <w:color w:val="auto"/>
        </w:rPr>
        <w:t>EEPRs</w:t>
      </w:r>
      <w:r w:rsidRPr="00A23A6D">
        <w:rPr>
          <w:rFonts w:ascii="Times New Roman" w:hAnsi="Times New Roman" w:cs="Times New Roman"/>
          <w:color w:val="auto"/>
        </w:rPr>
        <w:t xml:space="preserve">. </w:t>
      </w:r>
      <w:r w:rsidR="009A7FAE" w:rsidRPr="00A23A6D">
        <w:rPr>
          <w:rFonts w:ascii="Times New Roman" w:hAnsi="Times New Roman" w:cs="Times New Roman"/>
          <w:color w:val="auto"/>
        </w:rPr>
        <w:t>Houston also recommends that the PUC’s program evaluation contractor prepare a report each year that compares the above metrics for all regulated utilities in Texas that offer low-income and hard-to-reach energy efficiency programs.</w:t>
      </w:r>
    </w:p>
    <w:p w14:paraId="537208FC" w14:textId="77777777" w:rsidR="001D52AC" w:rsidRPr="00A23A6D" w:rsidRDefault="008400E0" w:rsidP="00022077">
      <w:pPr>
        <w:pStyle w:val="ListParagraph"/>
        <w:numPr>
          <w:ilvl w:val="0"/>
          <w:numId w:val="7"/>
        </w:numPr>
        <w:tabs>
          <w:tab w:val="left" w:pos="720"/>
        </w:tabs>
        <w:spacing w:line="250" w:lineRule="auto"/>
        <w:ind w:hanging="720"/>
        <w:rPr>
          <w:b/>
          <w:bCs/>
          <w:szCs w:val="24"/>
        </w:rPr>
      </w:pPr>
      <w:r w:rsidRPr="00A23A6D">
        <w:rPr>
          <w:b/>
          <w:bCs/>
          <w:szCs w:val="24"/>
        </w:rPr>
        <w:t>Avoided cost of capacity</w:t>
      </w:r>
      <w:r w:rsidR="001D52AC" w:rsidRPr="00A23A6D">
        <w:rPr>
          <w:b/>
          <w:bCs/>
          <w:szCs w:val="24"/>
        </w:rPr>
        <w:t xml:space="preserve"> and energy:</w:t>
      </w:r>
    </w:p>
    <w:p w14:paraId="24A4AF6F" w14:textId="363FD53D" w:rsidR="009A7FAE" w:rsidRPr="00A23A6D" w:rsidRDefault="00F21965" w:rsidP="00280B41">
      <w:pPr>
        <w:pStyle w:val="ListParagraph"/>
        <w:numPr>
          <w:ilvl w:val="1"/>
          <w:numId w:val="7"/>
        </w:numPr>
        <w:tabs>
          <w:tab w:val="left" w:pos="720"/>
        </w:tabs>
        <w:spacing w:line="250" w:lineRule="auto"/>
        <w:ind w:left="1080"/>
        <w:rPr>
          <w:b/>
          <w:bCs/>
          <w:szCs w:val="24"/>
        </w:rPr>
      </w:pPr>
      <w:r w:rsidRPr="00A23A6D">
        <w:rPr>
          <w:b/>
          <w:bCs/>
          <w:szCs w:val="24"/>
        </w:rPr>
        <w:t>Existing 16 TAC §25.181(d)(2) calculates the avoided cost of capacity.  Should this calculation be revised in a future energy efficiency rulemaking?  If so, how?  Please discuss your rationale in detail.</w:t>
      </w:r>
    </w:p>
    <w:p w14:paraId="37516069" w14:textId="77777777" w:rsidR="002E0ECC" w:rsidRPr="00A23A6D" w:rsidRDefault="002E0ECC" w:rsidP="002E0ECC">
      <w:pPr>
        <w:tabs>
          <w:tab w:val="left" w:pos="720"/>
        </w:tabs>
        <w:spacing w:line="250" w:lineRule="auto"/>
        <w:rPr>
          <w:b/>
          <w:bCs/>
          <w:szCs w:val="24"/>
        </w:rPr>
      </w:pPr>
    </w:p>
    <w:p w14:paraId="1362EB82" w14:textId="4218E130" w:rsidR="002E0ECC" w:rsidRPr="00A23A6D" w:rsidRDefault="002E0ECC" w:rsidP="002E0ECC">
      <w:pPr>
        <w:pStyle w:val="Default"/>
        <w:spacing w:line="480" w:lineRule="auto"/>
        <w:ind w:firstLine="720"/>
        <w:jc w:val="both"/>
        <w:rPr>
          <w:rFonts w:ascii="Times New Roman" w:hAnsi="Times New Roman" w:cs="Times New Roman"/>
          <w:color w:val="auto"/>
        </w:rPr>
      </w:pPr>
      <w:r w:rsidRPr="00A23A6D">
        <w:rPr>
          <w:rFonts w:ascii="Times New Roman" w:hAnsi="Times New Roman" w:cs="Times New Roman"/>
          <w:color w:val="auto"/>
        </w:rPr>
        <w:t xml:space="preserve">Yes, </w:t>
      </w:r>
      <w:r w:rsidR="00E121FE" w:rsidRPr="00A23A6D">
        <w:rPr>
          <w:rFonts w:ascii="Times New Roman" w:hAnsi="Times New Roman" w:cs="Times New Roman"/>
          <w:color w:val="auto"/>
        </w:rPr>
        <w:t>Houston</w:t>
      </w:r>
      <w:r w:rsidR="00525B78" w:rsidRPr="00A23A6D">
        <w:rPr>
          <w:rFonts w:ascii="Times New Roman" w:hAnsi="Times New Roman" w:cs="Times New Roman"/>
          <w:color w:val="auto"/>
        </w:rPr>
        <w:t xml:space="preserve"> believes </w:t>
      </w:r>
      <w:r w:rsidR="00276C42" w:rsidRPr="00A23A6D">
        <w:rPr>
          <w:rFonts w:ascii="Times New Roman" w:hAnsi="Times New Roman" w:cs="Times New Roman"/>
          <w:color w:val="auto"/>
        </w:rPr>
        <w:t xml:space="preserve">16 TAC §25.181(d)(2) should be revised. </w:t>
      </w:r>
      <w:r w:rsidRPr="00A23A6D">
        <w:rPr>
          <w:rFonts w:ascii="Times New Roman" w:hAnsi="Times New Roman" w:cs="Times New Roman"/>
          <w:color w:val="auto"/>
        </w:rPr>
        <w:t xml:space="preserve">At a minimum, the rule </w:t>
      </w:r>
      <w:r w:rsidR="00276C42" w:rsidRPr="00A23A6D">
        <w:rPr>
          <w:rFonts w:ascii="Times New Roman" w:hAnsi="Times New Roman" w:cs="Times New Roman"/>
          <w:color w:val="auto"/>
        </w:rPr>
        <w:t>should</w:t>
      </w:r>
      <w:r w:rsidRPr="00A23A6D">
        <w:rPr>
          <w:rFonts w:ascii="Times New Roman" w:hAnsi="Times New Roman" w:cs="Times New Roman"/>
          <w:color w:val="auto"/>
        </w:rPr>
        <w:t xml:space="preserve"> specify that the avoided cost of capacity also account</w:t>
      </w:r>
      <w:r w:rsidR="00177C1A" w:rsidRPr="00A23A6D">
        <w:rPr>
          <w:rFonts w:ascii="Times New Roman" w:hAnsi="Times New Roman" w:cs="Times New Roman"/>
          <w:color w:val="auto"/>
        </w:rPr>
        <w:t>s</w:t>
      </w:r>
      <w:r w:rsidRPr="00A23A6D">
        <w:rPr>
          <w:rFonts w:ascii="Times New Roman" w:hAnsi="Times New Roman" w:cs="Times New Roman"/>
          <w:color w:val="auto"/>
        </w:rPr>
        <w:t xml:space="preserve"> for the impacts of generation reserve requirements, line losses and avoided costs of transmission and distribution capacity.</w:t>
      </w:r>
    </w:p>
    <w:p w14:paraId="54F1859C" w14:textId="0B77413C" w:rsidR="002E0ECC" w:rsidRPr="00A23A6D" w:rsidRDefault="002E0ECC" w:rsidP="00E376AA">
      <w:pPr>
        <w:pStyle w:val="Default"/>
        <w:spacing w:line="480" w:lineRule="auto"/>
        <w:ind w:firstLine="720"/>
        <w:jc w:val="both"/>
        <w:rPr>
          <w:rFonts w:ascii="Times New Roman" w:hAnsi="Times New Roman" w:cs="Times New Roman"/>
        </w:rPr>
      </w:pPr>
      <w:r w:rsidRPr="00A23A6D">
        <w:rPr>
          <w:rFonts w:ascii="Times New Roman" w:hAnsi="Times New Roman" w:cs="Times New Roman"/>
          <w:color w:val="auto"/>
        </w:rPr>
        <w:t xml:space="preserve">As noted on page 51 of the </w:t>
      </w:r>
      <w:r w:rsidR="00DA68ED" w:rsidRPr="00A23A6D">
        <w:rPr>
          <w:rFonts w:ascii="Times New Roman" w:hAnsi="Times New Roman" w:cs="Times New Roman"/>
          <w:color w:val="auto"/>
        </w:rPr>
        <w:t>NSPM</w:t>
      </w:r>
      <w:r w:rsidRPr="00A23A6D">
        <w:rPr>
          <w:rFonts w:ascii="Times New Roman" w:hAnsi="Times New Roman" w:cs="Times New Roman"/>
          <w:color w:val="auto"/>
        </w:rPr>
        <w:t>, “e</w:t>
      </w:r>
      <w:r w:rsidRPr="00A23A6D">
        <w:rPr>
          <w:rFonts w:ascii="Times New Roman" w:hAnsi="Times New Roman" w:cs="Times New Roman"/>
        </w:rPr>
        <w:t xml:space="preserve">lectric utilities and/or electric system operators always plan to have at their disposal reserve capacity that can be deployed when a generator shuts down or there is some other form of disruption to the supply of generating capacity. Typically ranging from 7 percent to 25 percent, reserve requirements vary depending on the size of the system and its principal sources of generating capacity (Regulatory Assistance Project 2011). When efficiency resources reduce the amount of generating capacity required for a system, they </w:t>
      </w:r>
      <w:r w:rsidRPr="00A23A6D">
        <w:rPr>
          <w:rFonts w:ascii="Times New Roman" w:hAnsi="Times New Roman" w:cs="Times New Roman"/>
        </w:rPr>
        <w:lastRenderedPageBreak/>
        <w:t xml:space="preserve">can also reduce the </w:t>
      </w:r>
      <w:proofErr w:type="gramStart"/>
      <w:r w:rsidRPr="00A23A6D">
        <w:rPr>
          <w:rFonts w:ascii="Times New Roman" w:hAnsi="Times New Roman" w:cs="Times New Roman"/>
        </w:rPr>
        <w:t>amount</w:t>
      </w:r>
      <w:proofErr w:type="gramEnd"/>
      <w:r w:rsidRPr="00A23A6D">
        <w:rPr>
          <w:rFonts w:ascii="Times New Roman" w:hAnsi="Times New Roman" w:cs="Times New Roman"/>
        </w:rPr>
        <w:t xml:space="preserve"> of reserves needed. The value of avoided reserves should either be</w:t>
      </w:r>
      <w:r w:rsidR="0053323D" w:rsidRPr="00A23A6D">
        <w:rPr>
          <w:rFonts w:ascii="Times New Roman" w:hAnsi="Times New Roman" w:cs="Times New Roman"/>
        </w:rPr>
        <w:t xml:space="preserve"> </w:t>
      </w:r>
      <w:r w:rsidRPr="00A23A6D">
        <w:rPr>
          <w:rFonts w:ascii="Times New Roman" w:hAnsi="Times New Roman" w:cs="Times New Roman"/>
        </w:rPr>
        <w:t>included in estimates of avoided capacity costs or included separately”.</w:t>
      </w:r>
      <w:r w:rsidR="0096371E" w:rsidRPr="00A23A6D">
        <w:rPr>
          <w:rStyle w:val="FootnoteReference"/>
          <w:rFonts w:ascii="Times New Roman" w:hAnsi="Times New Roman" w:cs="Times New Roman"/>
        </w:rPr>
        <w:footnoteReference w:id="9"/>
      </w:r>
    </w:p>
    <w:p w14:paraId="509F9207" w14:textId="7B532952" w:rsidR="002E0ECC" w:rsidRPr="00A23A6D" w:rsidRDefault="002E0ECC" w:rsidP="002E0ECC">
      <w:pPr>
        <w:pStyle w:val="Default"/>
        <w:spacing w:line="480" w:lineRule="auto"/>
        <w:ind w:firstLine="720"/>
        <w:jc w:val="both"/>
        <w:rPr>
          <w:rFonts w:ascii="Times New Roman" w:hAnsi="Times New Roman" w:cs="Times New Roman"/>
        </w:rPr>
      </w:pPr>
      <w:r w:rsidRPr="00A23A6D">
        <w:rPr>
          <w:rFonts w:ascii="Times New Roman" w:hAnsi="Times New Roman" w:cs="Times New Roman"/>
        </w:rPr>
        <w:t xml:space="preserve">Second, the </w:t>
      </w:r>
      <w:r w:rsidR="00C94C19" w:rsidRPr="00A23A6D">
        <w:rPr>
          <w:rFonts w:ascii="Times New Roman" w:hAnsi="Times New Roman" w:cs="Times New Roman"/>
        </w:rPr>
        <w:t>NSPM</w:t>
      </w:r>
      <w:r w:rsidRPr="00A23A6D">
        <w:rPr>
          <w:rFonts w:ascii="Times New Roman" w:hAnsi="Times New Roman" w:cs="Times New Roman"/>
        </w:rPr>
        <w:t xml:space="preserve"> states that “energy efficiency resources also reduce loads on the T&amp;D system. To the extent that at least some portion of those load reductions occur during T&amp;D peaks, they can defer or eliminate the need for investments that would otherwise be required to address localized T&amp;D capacity constraints”. Thus, </w:t>
      </w:r>
      <w:r w:rsidR="00DB2DED" w:rsidRPr="00A23A6D">
        <w:rPr>
          <w:rFonts w:ascii="Times New Roman" w:hAnsi="Times New Roman" w:cs="Times New Roman"/>
        </w:rPr>
        <w:t xml:space="preserve">Houston recommends </w:t>
      </w:r>
      <w:r w:rsidR="00686059" w:rsidRPr="00A23A6D">
        <w:rPr>
          <w:rFonts w:ascii="Times New Roman" w:hAnsi="Times New Roman" w:cs="Times New Roman"/>
        </w:rPr>
        <w:t xml:space="preserve">amending the rule </w:t>
      </w:r>
      <w:r w:rsidR="0059301D" w:rsidRPr="00A23A6D">
        <w:rPr>
          <w:rFonts w:ascii="Times New Roman" w:hAnsi="Times New Roman" w:cs="Times New Roman"/>
        </w:rPr>
        <w:t>to specify</w:t>
      </w:r>
      <w:r w:rsidRPr="00A23A6D">
        <w:rPr>
          <w:rFonts w:ascii="Times New Roman" w:hAnsi="Times New Roman" w:cs="Times New Roman"/>
        </w:rPr>
        <w:t xml:space="preserve"> that avoided capacity costs should also include avoided T&amp;D infrastructure costs.</w:t>
      </w:r>
    </w:p>
    <w:p w14:paraId="14B20703" w14:textId="43B1F380" w:rsidR="002E0ECC" w:rsidRPr="00A23A6D" w:rsidRDefault="002E0ECC" w:rsidP="002E0ECC">
      <w:pPr>
        <w:pStyle w:val="Default"/>
        <w:spacing w:line="480" w:lineRule="auto"/>
        <w:ind w:firstLine="720"/>
        <w:jc w:val="both"/>
        <w:rPr>
          <w:rFonts w:ascii="Times New Roman" w:hAnsi="Times New Roman" w:cs="Times New Roman"/>
        </w:rPr>
      </w:pPr>
      <w:r w:rsidRPr="00A23A6D">
        <w:rPr>
          <w:rFonts w:ascii="Times New Roman" w:hAnsi="Times New Roman" w:cs="Times New Roman"/>
        </w:rPr>
        <w:t>Third, a kWh or kW saved at the distribution level saves more at the generation level due to line losses. When calculating costs that are avoided from energy efficiency and demand response measures or programs, kWh or kW savings that occur at the distribution meter need to be adjusted upwards to allow for the electricity line losses that occur be</w:t>
      </w:r>
      <w:r w:rsidR="00D33A5B" w:rsidRPr="00A23A6D">
        <w:rPr>
          <w:rFonts w:ascii="Times New Roman" w:hAnsi="Times New Roman" w:cs="Times New Roman"/>
        </w:rPr>
        <w:t>twe</w:t>
      </w:r>
      <w:r w:rsidRPr="00A23A6D">
        <w:rPr>
          <w:rFonts w:ascii="Times New Roman" w:hAnsi="Times New Roman" w:cs="Times New Roman"/>
        </w:rPr>
        <w:t xml:space="preserve">en the distribution meter and the generator. This issue is noted several times in the 2017 </w:t>
      </w:r>
      <w:r w:rsidR="000D6698" w:rsidRPr="00A23A6D">
        <w:rPr>
          <w:rFonts w:ascii="Times New Roman" w:hAnsi="Times New Roman" w:cs="Times New Roman"/>
        </w:rPr>
        <w:t>NS</w:t>
      </w:r>
      <w:r w:rsidR="00367790" w:rsidRPr="00A23A6D">
        <w:rPr>
          <w:rFonts w:ascii="Times New Roman" w:hAnsi="Times New Roman" w:cs="Times New Roman"/>
        </w:rPr>
        <w:t>PM</w:t>
      </w:r>
      <w:r w:rsidRPr="00A23A6D">
        <w:rPr>
          <w:rFonts w:ascii="Times New Roman" w:hAnsi="Times New Roman" w:cs="Times New Roman"/>
        </w:rPr>
        <w:t>.</w:t>
      </w:r>
    </w:p>
    <w:p w14:paraId="04DE841E" w14:textId="4DB16FFF" w:rsidR="008F1B05" w:rsidRPr="00A23A6D" w:rsidRDefault="008F1B05" w:rsidP="00C62D42">
      <w:pPr>
        <w:pStyle w:val="ListParagraph"/>
        <w:numPr>
          <w:ilvl w:val="1"/>
          <w:numId w:val="7"/>
        </w:numPr>
        <w:tabs>
          <w:tab w:val="left" w:pos="720"/>
        </w:tabs>
        <w:spacing w:line="250" w:lineRule="auto"/>
        <w:ind w:left="1080"/>
        <w:rPr>
          <w:b/>
          <w:bCs/>
          <w:szCs w:val="24"/>
        </w:rPr>
      </w:pPr>
      <w:r w:rsidRPr="00A23A6D">
        <w:rPr>
          <w:b/>
          <w:bCs/>
          <w:szCs w:val="24"/>
        </w:rPr>
        <w:t>Existing 16 TAC §25.181(d)(3) calculates the avoided cost of energy. Should this calculation be revised in a future energy efficiency rulemaking?  If so, how?  Please discuss your rationale in detail.</w:t>
      </w:r>
    </w:p>
    <w:p w14:paraId="6785C5C4" w14:textId="77777777" w:rsidR="00A6392C" w:rsidRPr="00A23A6D" w:rsidRDefault="00A6392C" w:rsidP="00A6392C">
      <w:pPr>
        <w:pStyle w:val="Default"/>
        <w:ind w:firstLine="720"/>
        <w:jc w:val="both"/>
        <w:rPr>
          <w:rFonts w:ascii="Times New Roman" w:hAnsi="Times New Roman" w:cs="Times New Roman"/>
          <w:b/>
          <w:bCs/>
          <w:color w:val="auto"/>
        </w:rPr>
      </w:pPr>
    </w:p>
    <w:p w14:paraId="17ACBACB" w14:textId="78AFCBDD" w:rsidR="0053323D" w:rsidRPr="00A23A6D" w:rsidRDefault="009A7FAE" w:rsidP="00C62D42">
      <w:pPr>
        <w:pStyle w:val="Default"/>
        <w:spacing w:line="480" w:lineRule="auto"/>
        <w:ind w:firstLine="720"/>
        <w:jc w:val="both"/>
        <w:rPr>
          <w:rFonts w:ascii="Times New Roman" w:hAnsi="Times New Roman" w:cs="Times New Roman"/>
        </w:rPr>
      </w:pPr>
      <w:r w:rsidRPr="00A23A6D">
        <w:rPr>
          <w:rFonts w:ascii="Times New Roman" w:hAnsi="Times New Roman" w:cs="Times New Roman"/>
          <w:color w:val="auto"/>
        </w:rPr>
        <w:t xml:space="preserve">Yes, </w:t>
      </w:r>
      <w:r w:rsidR="00B37510" w:rsidRPr="00A23A6D">
        <w:rPr>
          <w:rFonts w:ascii="Times New Roman" w:hAnsi="Times New Roman" w:cs="Times New Roman"/>
          <w:color w:val="auto"/>
        </w:rPr>
        <w:t xml:space="preserve">Houston </w:t>
      </w:r>
      <w:r w:rsidR="007C78DB" w:rsidRPr="00A23A6D">
        <w:rPr>
          <w:rFonts w:ascii="Times New Roman" w:hAnsi="Times New Roman" w:cs="Times New Roman"/>
          <w:color w:val="auto"/>
        </w:rPr>
        <w:t>recommends</w:t>
      </w:r>
      <w:r w:rsidR="00276F49" w:rsidRPr="00A23A6D">
        <w:rPr>
          <w:rFonts w:ascii="Times New Roman" w:hAnsi="Times New Roman" w:cs="Times New Roman"/>
          <w:color w:val="auto"/>
        </w:rPr>
        <w:t xml:space="preserve"> revising</w:t>
      </w:r>
      <w:r w:rsidR="00EC06CF" w:rsidRPr="00A23A6D">
        <w:rPr>
          <w:rFonts w:ascii="Times New Roman" w:hAnsi="Times New Roman" w:cs="Times New Roman"/>
          <w:color w:val="auto"/>
        </w:rPr>
        <w:t xml:space="preserve"> </w:t>
      </w:r>
      <w:r w:rsidR="00A6392C" w:rsidRPr="00A23A6D">
        <w:rPr>
          <w:rFonts w:ascii="Times New Roman" w:hAnsi="Times New Roman" w:cs="Times New Roman"/>
          <w:color w:val="auto"/>
        </w:rPr>
        <w:t>16 TAC §25.181(d)(3</w:t>
      </w:r>
      <w:r w:rsidR="00971EF4" w:rsidRPr="00A23A6D">
        <w:rPr>
          <w:rFonts w:ascii="Times New Roman" w:hAnsi="Times New Roman" w:cs="Times New Roman"/>
          <w:color w:val="auto"/>
        </w:rPr>
        <w:t>).</w:t>
      </w:r>
      <w:r w:rsidRPr="00A23A6D">
        <w:rPr>
          <w:rFonts w:ascii="Times New Roman" w:hAnsi="Times New Roman" w:cs="Times New Roman"/>
          <w:color w:val="auto"/>
        </w:rPr>
        <w:t xml:space="preserve"> At a minimum, the rule </w:t>
      </w:r>
      <w:r w:rsidR="00105B47" w:rsidRPr="00A23A6D">
        <w:rPr>
          <w:rFonts w:ascii="Times New Roman" w:hAnsi="Times New Roman" w:cs="Times New Roman"/>
          <w:color w:val="auto"/>
        </w:rPr>
        <w:t xml:space="preserve">should </w:t>
      </w:r>
      <w:r w:rsidRPr="00A23A6D">
        <w:rPr>
          <w:rFonts w:ascii="Times New Roman" w:hAnsi="Times New Roman" w:cs="Times New Roman"/>
          <w:color w:val="auto"/>
        </w:rPr>
        <w:t xml:space="preserve">specify that the avoided cost of energy also </w:t>
      </w:r>
      <w:proofErr w:type="gramStart"/>
      <w:r w:rsidRPr="00A23A6D">
        <w:rPr>
          <w:rFonts w:ascii="Times New Roman" w:hAnsi="Times New Roman" w:cs="Times New Roman"/>
          <w:color w:val="auto"/>
        </w:rPr>
        <w:t>account</w:t>
      </w:r>
      <w:proofErr w:type="gramEnd"/>
      <w:r w:rsidRPr="00A23A6D">
        <w:rPr>
          <w:rFonts w:ascii="Times New Roman" w:hAnsi="Times New Roman" w:cs="Times New Roman"/>
          <w:color w:val="auto"/>
        </w:rPr>
        <w:t xml:space="preserve"> for line losses. </w:t>
      </w:r>
      <w:r w:rsidRPr="00A23A6D">
        <w:rPr>
          <w:rFonts w:ascii="Times New Roman" w:hAnsi="Times New Roman" w:cs="Times New Roman"/>
        </w:rPr>
        <w:t xml:space="preserve">A kWh or kW saved at the distribution level saves more at the generation level due to line losses. As noted above, when calculating costs that are avoided from energy efficiency and demand response measures or programs, kWh or kW savings that occur at the distribution meter need to be adjusted upwards to allow for the electricity line losses that occur between the distribution meter and the generator. This issue is noted several times in the 2017 </w:t>
      </w:r>
      <w:r w:rsidR="00862264" w:rsidRPr="00A23A6D">
        <w:rPr>
          <w:rFonts w:ascii="Times New Roman" w:hAnsi="Times New Roman" w:cs="Times New Roman"/>
        </w:rPr>
        <w:t>NSPM</w:t>
      </w:r>
      <w:r w:rsidRPr="00A23A6D">
        <w:rPr>
          <w:rFonts w:ascii="Times New Roman" w:hAnsi="Times New Roman" w:cs="Times New Roman"/>
        </w:rPr>
        <w:t>.</w:t>
      </w:r>
    </w:p>
    <w:p w14:paraId="3BF64E20" w14:textId="74A352D1" w:rsidR="00CF26AC" w:rsidRPr="00A23A6D" w:rsidRDefault="00CF26AC" w:rsidP="00CF26AC">
      <w:pPr>
        <w:pStyle w:val="ListParagraph"/>
        <w:numPr>
          <w:ilvl w:val="0"/>
          <w:numId w:val="7"/>
        </w:numPr>
        <w:tabs>
          <w:tab w:val="left" w:pos="720"/>
        </w:tabs>
        <w:spacing w:line="250" w:lineRule="auto"/>
        <w:ind w:hanging="720"/>
        <w:rPr>
          <w:b/>
          <w:bCs/>
          <w:szCs w:val="24"/>
        </w:rPr>
      </w:pPr>
      <w:r w:rsidRPr="00A23A6D">
        <w:rPr>
          <w:b/>
          <w:bCs/>
          <w:szCs w:val="24"/>
        </w:rPr>
        <w:lastRenderedPageBreak/>
        <w:t>Existing 16 TAC §25.182 calculates utility performance bonuses. Should this calculation be revised in a future energy efficiency rulemaking? If so, how? Please discuss your rationale in detail.</w:t>
      </w:r>
    </w:p>
    <w:p w14:paraId="19F04513" w14:textId="77777777" w:rsidR="00102EDA" w:rsidRPr="00A23A6D" w:rsidRDefault="00102EDA" w:rsidP="00F56BC5">
      <w:pPr>
        <w:tabs>
          <w:tab w:val="left" w:pos="720"/>
        </w:tabs>
        <w:spacing w:line="250" w:lineRule="auto"/>
        <w:rPr>
          <w:b/>
          <w:bCs/>
          <w:szCs w:val="24"/>
        </w:rPr>
      </w:pPr>
    </w:p>
    <w:p w14:paraId="0B6DE910" w14:textId="4EF023F6" w:rsidR="00F56BC5" w:rsidRPr="00A23A6D" w:rsidRDefault="00F56BC5" w:rsidP="00F56BC5">
      <w:pPr>
        <w:pStyle w:val="Default"/>
        <w:spacing w:line="480" w:lineRule="auto"/>
        <w:ind w:firstLine="720"/>
        <w:jc w:val="both"/>
        <w:rPr>
          <w:rFonts w:ascii="Times New Roman" w:hAnsi="Times New Roman" w:cs="Times New Roman"/>
          <w:color w:val="auto"/>
        </w:rPr>
      </w:pPr>
      <w:r w:rsidRPr="00A23A6D">
        <w:rPr>
          <w:rFonts w:ascii="Times New Roman" w:hAnsi="Times New Roman" w:cs="Times New Roman"/>
          <w:color w:val="auto"/>
        </w:rPr>
        <w:t>The calculation of the performance bonus amount needs to be clarified in a future energy efficiency rulemaking. Listed below are the clarifications that need to be made to the performance bonus calculation:</w:t>
      </w:r>
    </w:p>
    <w:p w14:paraId="1292D080" w14:textId="54858EA6" w:rsidR="00F56BC5" w:rsidRPr="00A23A6D" w:rsidRDefault="00F56BC5" w:rsidP="00B12542">
      <w:pPr>
        <w:pStyle w:val="Default"/>
        <w:numPr>
          <w:ilvl w:val="0"/>
          <w:numId w:val="10"/>
        </w:numPr>
        <w:spacing w:line="480" w:lineRule="auto"/>
        <w:ind w:left="1080"/>
        <w:jc w:val="both"/>
        <w:rPr>
          <w:rFonts w:ascii="Times New Roman" w:hAnsi="Times New Roman" w:cs="Times New Roman"/>
          <w:color w:val="auto"/>
        </w:rPr>
      </w:pPr>
      <w:r w:rsidRPr="00A23A6D">
        <w:rPr>
          <w:rFonts w:ascii="Times New Roman" w:hAnsi="Times New Roman" w:cs="Times New Roman"/>
          <w:color w:val="auto"/>
        </w:rPr>
        <w:t>The rule needs to specify the exact source for the avoided costs of energy and capacity that are to be used in the calculation of the performance bonus. For example, should the rule specify that that avoided costs for each energy efficiency or demand response measure used in the calculation of the performance bonus be the same avoided costs that were in place or utilized when the Commission approved each energy efficiency or demand response program</w:t>
      </w:r>
      <w:r w:rsidR="006341CA" w:rsidRPr="00A23A6D">
        <w:rPr>
          <w:rFonts w:ascii="Times New Roman" w:hAnsi="Times New Roman" w:cs="Times New Roman"/>
          <w:color w:val="auto"/>
        </w:rPr>
        <w:t>?</w:t>
      </w:r>
      <w:r w:rsidRPr="00A23A6D">
        <w:rPr>
          <w:rFonts w:ascii="Times New Roman" w:hAnsi="Times New Roman" w:cs="Times New Roman"/>
          <w:color w:val="auto"/>
        </w:rPr>
        <w:t xml:space="preserve"> The current version of the rule does not make this clear.</w:t>
      </w:r>
    </w:p>
    <w:p w14:paraId="25556F21" w14:textId="3EF45E67" w:rsidR="00F56BC5" w:rsidRPr="00A23A6D" w:rsidRDefault="00F56BC5" w:rsidP="00B12542">
      <w:pPr>
        <w:pStyle w:val="Default"/>
        <w:numPr>
          <w:ilvl w:val="0"/>
          <w:numId w:val="10"/>
        </w:numPr>
        <w:spacing w:line="480" w:lineRule="auto"/>
        <w:ind w:left="1080"/>
        <w:jc w:val="both"/>
        <w:rPr>
          <w:rFonts w:ascii="Times New Roman" w:hAnsi="Times New Roman" w:cs="Times New Roman"/>
          <w:color w:val="auto"/>
        </w:rPr>
      </w:pPr>
      <w:r w:rsidRPr="00A23A6D">
        <w:rPr>
          <w:rFonts w:ascii="Times New Roman" w:hAnsi="Times New Roman" w:cs="Times New Roman"/>
          <w:color w:val="auto"/>
        </w:rPr>
        <w:t>The rule for the calculation of the performance bonus needs to clarify that the avoided costs used in the calculation of program benefits needs to be calculated over the life of the specific measures installed in each program in the year for which the performance bonus is calculated.</w:t>
      </w:r>
    </w:p>
    <w:p w14:paraId="3CF833E1" w14:textId="4BE70BD2" w:rsidR="00CC7B51" w:rsidRPr="00A23A6D" w:rsidRDefault="00CC7B51" w:rsidP="00CF26AC">
      <w:pPr>
        <w:pStyle w:val="ListParagraph"/>
        <w:numPr>
          <w:ilvl w:val="0"/>
          <w:numId w:val="7"/>
        </w:numPr>
        <w:tabs>
          <w:tab w:val="left" w:pos="720"/>
        </w:tabs>
        <w:spacing w:line="250" w:lineRule="auto"/>
        <w:ind w:hanging="720"/>
        <w:rPr>
          <w:b/>
          <w:bCs/>
          <w:szCs w:val="24"/>
        </w:rPr>
      </w:pPr>
      <w:r w:rsidRPr="00A23A6D">
        <w:rPr>
          <w:b/>
          <w:bCs/>
          <w:szCs w:val="24"/>
        </w:rPr>
        <w:t>Existing 16 TAC §25.181 addresses energy savings and demand reduction goals.  Should these existing goals be revised in a future energy efficiency rulemaking?  If so, how?  Please discuss your rationale in detail.</w:t>
      </w:r>
    </w:p>
    <w:p w14:paraId="21B30766" w14:textId="77777777" w:rsidR="00CC5CFE" w:rsidRPr="00A23A6D" w:rsidRDefault="00CC5CFE" w:rsidP="00CC5CFE">
      <w:pPr>
        <w:tabs>
          <w:tab w:val="left" w:pos="720"/>
        </w:tabs>
        <w:spacing w:line="250" w:lineRule="auto"/>
        <w:rPr>
          <w:b/>
          <w:bCs/>
          <w:szCs w:val="24"/>
        </w:rPr>
      </w:pPr>
    </w:p>
    <w:p w14:paraId="73A9F32C" w14:textId="633C2300" w:rsidR="00CC5CFE" w:rsidRPr="00A23A6D" w:rsidRDefault="00CC5CFE" w:rsidP="001A2190">
      <w:pPr>
        <w:pStyle w:val="Default"/>
        <w:spacing w:line="480" w:lineRule="auto"/>
        <w:ind w:firstLine="720"/>
        <w:jc w:val="both"/>
        <w:rPr>
          <w:rFonts w:ascii="Times New Roman" w:hAnsi="Times New Roman" w:cs="Times New Roman"/>
          <w:color w:val="auto"/>
        </w:rPr>
      </w:pPr>
      <w:r w:rsidRPr="00A23A6D">
        <w:rPr>
          <w:rFonts w:ascii="Times New Roman" w:hAnsi="Times New Roman" w:cs="Times New Roman"/>
          <w:color w:val="auto"/>
        </w:rPr>
        <w:t>Houston recommends</w:t>
      </w:r>
      <w:r w:rsidR="00C94A88" w:rsidRPr="00A23A6D">
        <w:rPr>
          <w:rFonts w:ascii="Times New Roman" w:hAnsi="Times New Roman" w:cs="Times New Roman"/>
          <w:color w:val="auto"/>
        </w:rPr>
        <w:t xml:space="preserve"> revising</w:t>
      </w:r>
      <w:r w:rsidRPr="00A23A6D">
        <w:rPr>
          <w:rFonts w:ascii="Times New Roman" w:hAnsi="Times New Roman" w:cs="Times New Roman"/>
          <w:color w:val="auto"/>
        </w:rPr>
        <w:t xml:space="preserve"> the existing targets for energy savings and demand reduction goals listed in 16 TAC §25.181 significantly upward in a future rulemaking. Specifically, Houston recommends </w:t>
      </w:r>
      <w:r w:rsidR="00E95920" w:rsidRPr="00A23A6D">
        <w:rPr>
          <w:rFonts w:ascii="Times New Roman" w:hAnsi="Times New Roman" w:cs="Times New Roman"/>
          <w:color w:val="auto"/>
        </w:rPr>
        <w:t xml:space="preserve">increasing </w:t>
      </w:r>
      <w:r w:rsidRPr="00A23A6D">
        <w:rPr>
          <w:rFonts w:ascii="Times New Roman" w:hAnsi="Times New Roman" w:cs="Times New Roman"/>
          <w:color w:val="auto"/>
        </w:rPr>
        <w:t xml:space="preserve">the existing targets for energy efficiency and demand reduction to 0.91% - 1.50% of </w:t>
      </w:r>
      <w:r w:rsidR="00197EEE" w:rsidRPr="00A23A6D">
        <w:rPr>
          <w:rFonts w:ascii="Times New Roman" w:hAnsi="Times New Roman" w:cs="Times New Roman"/>
          <w:color w:val="auto"/>
        </w:rPr>
        <w:t xml:space="preserve">annual </w:t>
      </w:r>
      <w:r w:rsidRPr="00A23A6D">
        <w:rPr>
          <w:rFonts w:ascii="Times New Roman" w:hAnsi="Times New Roman" w:cs="Times New Roman"/>
          <w:color w:val="auto"/>
        </w:rPr>
        <w:t xml:space="preserve">retail energy sales which would align Texas with other states, and further support grid reliability through substantive energy savings. </w:t>
      </w:r>
    </w:p>
    <w:p w14:paraId="59E2D25F" w14:textId="04B2BD55" w:rsidR="00CC5CFE" w:rsidRPr="00A23A6D" w:rsidRDefault="00CC5CFE" w:rsidP="001A2190">
      <w:pPr>
        <w:pStyle w:val="Default"/>
        <w:spacing w:line="480" w:lineRule="auto"/>
        <w:ind w:firstLine="720"/>
        <w:jc w:val="both"/>
        <w:rPr>
          <w:rFonts w:ascii="Times New Roman" w:hAnsi="Times New Roman" w:cs="Times New Roman"/>
          <w:color w:val="auto"/>
        </w:rPr>
      </w:pPr>
      <w:r w:rsidRPr="00A23A6D">
        <w:rPr>
          <w:rFonts w:ascii="Times New Roman" w:hAnsi="Times New Roman" w:cs="Times New Roman"/>
          <w:color w:val="auto"/>
        </w:rPr>
        <w:lastRenderedPageBreak/>
        <w:t xml:space="preserve">Houston finds that the targets for energy savings and demand reduction goals </w:t>
      </w:r>
      <w:proofErr w:type="gramStart"/>
      <w:r w:rsidRPr="00A23A6D">
        <w:rPr>
          <w:rFonts w:ascii="Times New Roman" w:hAnsi="Times New Roman" w:cs="Times New Roman"/>
          <w:color w:val="auto"/>
        </w:rPr>
        <w:t>lag behind</w:t>
      </w:r>
      <w:proofErr w:type="gramEnd"/>
      <w:r w:rsidRPr="00A23A6D">
        <w:rPr>
          <w:rFonts w:ascii="Times New Roman" w:hAnsi="Times New Roman" w:cs="Times New Roman"/>
          <w:color w:val="auto"/>
        </w:rPr>
        <w:t xml:space="preserve"> significant program savings that are being achieved in other states. Houston views energy efficiency and demand reduction as a key resource to meet the City’s commitment to climate action plan policies and </w:t>
      </w:r>
      <w:r w:rsidR="00213C45" w:rsidRPr="00A23A6D">
        <w:rPr>
          <w:rFonts w:ascii="Times New Roman" w:hAnsi="Times New Roman" w:cs="Times New Roman"/>
          <w:color w:val="auto"/>
        </w:rPr>
        <w:t xml:space="preserve">to help </w:t>
      </w:r>
      <w:r w:rsidR="006B3D28" w:rsidRPr="00A23A6D">
        <w:rPr>
          <w:rFonts w:ascii="Times New Roman" w:hAnsi="Times New Roman" w:cs="Times New Roman"/>
          <w:color w:val="auto"/>
        </w:rPr>
        <w:t xml:space="preserve">the </w:t>
      </w:r>
      <w:r w:rsidR="00A12F1D" w:rsidRPr="00A23A6D">
        <w:rPr>
          <w:rFonts w:ascii="Times New Roman" w:hAnsi="Times New Roman" w:cs="Times New Roman"/>
          <w:color w:val="auto"/>
        </w:rPr>
        <w:t xml:space="preserve">PUC </w:t>
      </w:r>
      <w:r w:rsidR="00213C45" w:rsidRPr="00A23A6D">
        <w:rPr>
          <w:rFonts w:ascii="Times New Roman" w:hAnsi="Times New Roman" w:cs="Times New Roman"/>
          <w:color w:val="auto"/>
        </w:rPr>
        <w:t>meet growing demand for electricity</w:t>
      </w:r>
      <w:r w:rsidR="00292758" w:rsidRPr="00A23A6D">
        <w:rPr>
          <w:rFonts w:ascii="Times New Roman" w:hAnsi="Times New Roman" w:cs="Times New Roman"/>
          <w:color w:val="auto"/>
        </w:rPr>
        <w:t xml:space="preserve"> in Texas</w:t>
      </w:r>
      <w:r w:rsidR="00213C45" w:rsidRPr="00A23A6D">
        <w:rPr>
          <w:rFonts w:ascii="Times New Roman" w:hAnsi="Times New Roman" w:cs="Times New Roman"/>
          <w:color w:val="auto"/>
        </w:rPr>
        <w:t xml:space="preserve">. </w:t>
      </w:r>
      <w:r w:rsidR="00653843" w:rsidRPr="00A23A6D">
        <w:rPr>
          <w:rFonts w:ascii="Times New Roman" w:hAnsi="Times New Roman" w:cs="Times New Roman"/>
          <w:color w:val="auto"/>
        </w:rPr>
        <w:t>ERCOT’s January 2024 load forecast projects that electric peak demand in Texas will grow 1.7% per year from 2024 to 2033</w:t>
      </w:r>
      <w:r w:rsidR="000E24D0" w:rsidRPr="00A23A6D">
        <w:rPr>
          <w:rFonts w:ascii="Times New Roman" w:hAnsi="Times New Roman" w:cs="Times New Roman"/>
          <w:color w:val="auto"/>
        </w:rPr>
        <w:t xml:space="preserve"> and increase by </w:t>
      </w:r>
      <w:r w:rsidR="00A85302" w:rsidRPr="00A23A6D">
        <w:rPr>
          <w:rFonts w:ascii="Times New Roman" w:hAnsi="Times New Roman" w:cs="Times New Roman"/>
          <w:color w:val="auto"/>
        </w:rPr>
        <w:t xml:space="preserve">13,316 MW over that </w:t>
      </w:r>
      <w:proofErr w:type="gramStart"/>
      <w:r w:rsidR="00A85302" w:rsidRPr="00A23A6D">
        <w:rPr>
          <w:rFonts w:ascii="Times New Roman" w:hAnsi="Times New Roman" w:cs="Times New Roman"/>
          <w:color w:val="auto"/>
        </w:rPr>
        <w:t>time period</w:t>
      </w:r>
      <w:proofErr w:type="gramEnd"/>
      <w:r w:rsidR="00A85302" w:rsidRPr="00A23A6D">
        <w:rPr>
          <w:rFonts w:ascii="Times New Roman" w:hAnsi="Times New Roman" w:cs="Times New Roman"/>
          <w:color w:val="auto"/>
        </w:rPr>
        <w:t xml:space="preserve">. </w:t>
      </w:r>
      <w:r w:rsidR="00A902EA" w:rsidRPr="00A23A6D">
        <w:rPr>
          <w:rFonts w:ascii="Times New Roman" w:hAnsi="Times New Roman" w:cs="Times New Roman"/>
          <w:color w:val="auto"/>
        </w:rPr>
        <w:t xml:space="preserve">Increasing </w:t>
      </w:r>
      <w:r w:rsidR="00A023EE" w:rsidRPr="00A23A6D">
        <w:rPr>
          <w:rFonts w:ascii="Times New Roman" w:hAnsi="Times New Roman" w:cs="Times New Roman"/>
          <w:color w:val="auto"/>
        </w:rPr>
        <w:t xml:space="preserve">the goals for energy efficiency and demand response program savings will help make </w:t>
      </w:r>
      <w:r w:rsidR="00A07CB3" w:rsidRPr="00A23A6D">
        <w:rPr>
          <w:rFonts w:ascii="Times New Roman" w:hAnsi="Times New Roman" w:cs="Times New Roman"/>
          <w:color w:val="auto"/>
        </w:rPr>
        <w:t>the utility grid in Texas more reliable and resilient</w:t>
      </w:r>
      <w:r w:rsidR="00631B66" w:rsidRPr="00A23A6D">
        <w:rPr>
          <w:rFonts w:ascii="Times New Roman" w:hAnsi="Times New Roman" w:cs="Times New Roman"/>
          <w:color w:val="auto"/>
        </w:rPr>
        <w:t xml:space="preserve"> and will save consumers millions of dollars on their electric bills</w:t>
      </w:r>
      <w:r w:rsidR="00A07CB3" w:rsidRPr="00A23A6D">
        <w:rPr>
          <w:rFonts w:ascii="Times New Roman" w:hAnsi="Times New Roman" w:cs="Times New Roman"/>
          <w:color w:val="auto"/>
        </w:rPr>
        <w:t>.</w:t>
      </w:r>
      <w:r w:rsidR="00213C45" w:rsidRPr="00A23A6D">
        <w:rPr>
          <w:rFonts w:ascii="Times New Roman" w:hAnsi="Times New Roman" w:cs="Times New Roman"/>
          <w:color w:val="auto"/>
        </w:rPr>
        <w:t xml:space="preserve"> Houston </w:t>
      </w:r>
      <w:r w:rsidRPr="00A23A6D">
        <w:rPr>
          <w:rFonts w:ascii="Times New Roman" w:hAnsi="Times New Roman" w:cs="Times New Roman"/>
          <w:color w:val="auto"/>
        </w:rPr>
        <w:t>appreciates the Commission’s work on this issue.</w:t>
      </w:r>
    </w:p>
    <w:p w14:paraId="5EAAD3BA" w14:textId="7011826A" w:rsidR="002D7A5C" w:rsidRPr="00A23A6D" w:rsidRDefault="00306CB2" w:rsidP="002D7A5C">
      <w:pPr>
        <w:pStyle w:val="Default"/>
        <w:spacing w:line="480" w:lineRule="auto"/>
        <w:ind w:firstLine="720"/>
        <w:jc w:val="both"/>
        <w:rPr>
          <w:rFonts w:ascii="Times New Roman" w:hAnsi="Times New Roman" w:cs="Times New Roman"/>
          <w:color w:val="auto"/>
        </w:rPr>
      </w:pPr>
      <w:r w:rsidRPr="00A23A6D">
        <w:rPr>
          <w:rFonts w:ascii="Times New Roman" w:hAnsi="Times New Roman" w:cs="Times New Roman"/>
          <w:color w:val="auto"/>
        </w:rPr>
        <w:t>Houston</w:t>
      </w:r>
      <w:r w:rsidR="00CC5CFE" w:rsidRPr="00A23A6D">
        <w:rPr>
          <w:rFonts w:ascii="Times New Roman" w:hAnsi="Times New Roman" w:cs="Times New Roman"/>
          <w:color w:val="auto"/>
        </w:rPr>
        <w:t xml:space="preserve"> reviewed the latest available American Council for an Energy Efficient Economy (ACEEE) “Utility Energy Efficiency Scorecard” report published in August 2023.</w:t>
      </w:r>
      <w:r w:rsidR="00CC5CFE" w:rsidRPr="00A23A6D">
        <w:rPr>
          <w:rStyle w:val="FootnoteReference"/>
          <w:rFonts w:ascii="Times New Roman" w:hAnsi="Times New Roman" w:cs="Times New Roman"/>
          <w:color w:val="auto"/>
        </w:rPr>
        <w:footnoteReference w:id="10"/>
      </w:r>
      <w:r w:rsidR="00CC5CFE" w:rsidRPr="00A23A6D">
        <w:rPr>
          <w:rFonts w:ascii="Times New Roman" w:hAnsi="Times New Roman" w:cs="Times New Roman"/>
          <w:color w:val="auto"/>
        </w:rPr>
        <w:t xml:space="preserve"> This report presents the energy efficiency savings performance of the 53 largest utilities in the U.S. for the year 2021. The percentage savings for each of the</w:t>
      </w:r>
      <w:r w:rsidR="00E376AA" w:rsidRPr="00A23A6D">
        <w:rPr>
          <w:rFonts w:ascii="Times New Roman" w:hAnsi="Times New Roman" w:cs="Times New Roman"/>
          <w:color w:val="auto"/>
        </w:rPr>
        <w:t>se</w:t>
      </w:r>
      <w:r w:rsidR="00CC5CFE" w:rsidRPr="00A23A6D">
        <w:rPr>
          <w:rFonts w:ascii="Times New Roman" w:hAnsi="Times New Roman" w:cs="Times New Roman"/>
          <w:color w:val="auto"/>
        </w:rPr>
        <w:t xml:space="preserve"> utilities is calculated as the energy efficiency savings achieved for measures installed in 2021 divided by the annual retail sales of the utility in 2021. </w:t>
      </w:r>
    </w:p>
    <w:p w14:paraId="33837E42" w14:textId="4FBADF49" w:rsidR="00CC5CFE" w:rsidRPr="00A23A6D" w:rsidRDefault="00CC5CFE" w:rsidP="001A2190">
      <w:pPr>
        <w:autoSpaceDE w:val="0"/>
        <w:autoSpaceDN w:val="0"/>
        <w:adjustRightInd w:val="0"/>
        <w:spacing w:line="480" w:lineRule="auto"/>
        <w:ind w:firstLine="720"/>
        <w:rPr>
          <w:szCs w:val="24"/>
        </w:rPr>
      </w:pPr>
      <w:r w:rsidRPr="00A23A6D">
        <w:rPr>
          <w:szCs w:val="24"/>
        </w:rPr>
        <w:t xml:space="preserve">The Scorecard report states that “on average, these 53 utilities achieved savings of 0.91% of retail sales. Of the 53 utilities, 20, or 37%, reached savings of 1% or higher. Eleven utilities achieved annual percentage savings levels higher than 1.50% in 2021, compared with 13 utilities in 2018. </w:t>
      </w:r>
    </w:p>
    <w:p w14:paraId="568F8503" w14:textId="681CE390" w:rsidR="00CC5CFE" w:rsidRPr="00A23A6D" w:rsidRDefault="00CC5CFE" w:rsidP="001A2190">
      <w:pPr>
        <w:autoSpaceDE w:val="0"/>
        <w:autoSpaceDN w:val="0"/>
        <w:adjustRightInd w:val="0"/>
        <w:spacing w:line="480" w:lineRule="auto"/>
        <w:ind w:firstLine="720"/>
        <w:rPr>
          <w:szCs w:val="24"/>
        </w:rPr>
      </w:pPr>
      <w:r w:rsidRPr="00A23A6D">
        <w:rPr>
          <w:szCs w:val="24"/>
        </w:rPr>
        <w:t xml:space="preserve">Houston notes that the energy efficiency savings achieved by the Texas utilities included in the Scorecard report are much lower than the average savings of 0.91% of retail sales achieved </w:t>
      </w:r>
      <w:r w:rsidRPr="00A23A6D">
        <w:rPr>
          <w:szCs w:val="24"/>
        </w:rPr>
        <w:lastRenderedPageBreak/>
        <w:t>by all 53 of the largest utilities. The percentage energy efficiency savings achieved by the four large Texas utilities included in the report for the year 2021 are listed below:</w:t>
      </w:r>
    </w:p>
    <w:p w14:paraId="5AEEB887" w14:textId="77777777" w:rsidR="00CC5CFE" w:rsidRPr="00A23A6D" w:rsidRDefault="00CC5CFE" w:rsidP="001A2190">
      <w:pPr>
        <w:pStyle w:val="ListParagraph"/>
        <w:numPr>
          <w:ilvl w:val="0"/>
          <w:numId w:val="11"/>
        </w:numPr>
        <w:autoSpaceDE w:val="0"/>
        <w:autoSpaceDN w:val="0"/>
        <w:adjustRightInd w:val="0"/>
        <w:spacing w:line="480" w:lineRule="auto"/>
        <w:rPr>
          <w:szCs w:val="24"/>
        </w:rPr>
      </w:pPr>
      <w:r w:rsidRPr="00A23A6D">
        <w:rPr>
          <w:szCs w:val="24"/>
        </w:rPr>
        <w:t>CPS: 0.50%</w:t>
      </w:r>
    </w:p>
    <w:p w14:paraId="1329F73A" w14:textId="77777777" w:rsidR="00CC5CFE" w:rsidRPr="00A23A6D" w:rsidRDefault="00CC5CFE" w:rsidP="001A2190">
      <w:pPr>
        <w:pStyle w:val="ListParagraph"/>
        <w:numPr>
          <w:ilvl w:val="0"/>
          <w:numId w:val="11"/>
        </w:numPr>
        <w:autoSpaceDE w:val="0"/>
        <w:autoSpaceDN w:val="0"/>
        <w:adjustRightInd w:val="0"/>
        <w:spacing w:line="480" w:lineRule="auto"/>
        <w:rPr>
          <w:szCs w:val="24"/>
        </w:rPr>
      </w:pPr>
      <w:r w:rsidRPr="00A23A6D">
        <w:rPr>
          <w:szCs w:val="24"/>
        </w:rPr>
        <w:t>Entergy Texas: 0.29%</w:t>
      </w:r>
    </w:p>
    <w:p w14:paraId="4BFE19ED" w14:textId="77777777" w:rsidR="00CC5CFE" w:rsidRPr="00A23A6D" w:rsidRDefault="00CC5CFE" w:rsidP="001A2190">
      <w:pPr>
        <w:pStyle w:val="ListParagraph"/>
        <w:numPr>
          <w:ilvl w:val="0"/>
          <w:numId w:val="11"/>
        </w:numPr>
        <w:autoSpaceDE w:val="0"/>
        <w:autoSpaceDN w:val="0"/>
        <w:adjustRightInd w:val="0"/>
        <w:spacing w:line="480" w:lineRule="auto"/>
        <w:rPr>
          <w:szCs w:val="24"/>
        </w:rPr>
      </w:pPr>
      <w:r w:rsidRPr="00A23A6D">
        <w:rPr>
          <w:szCs w:val="24"/>
        </w:rPr>
        <w:t>CenterPoint: 0.22%</w:t>
      </w:r>
    </w:p>
    <w:p w14:paraId="6E35793A" w14:textId="77777777" w:rsidR="00CC5CFE" w:rsidRPr="00A23A6D" w:rsidRDefault="00CC5CFE" w:rsidP="001A2190">
      <w:pPr>
        <w:pStyle w:val="ListParagraph"/>
        <w:numPr>
          <w:ilvl w:val="0"/>
          <w:numId w:val="11"/>
        </w:numPr>
        <w:autoSpaceDE w:val="0"/>
        <w:autoSpaceDN w:val="0"/>
        <w:adjustRightInd w:val="0"/>
        <w:spacing w:line="480" w:lineRule="auto"/>
        <w:rPr>
          <w:szCs w:val="24"/>
        </w:rPr>
      </w:pPr>
      <w:r w:rsidRPr="00A23A6D">
        <w:rPr>
          <w:szCs w:val="24"/>
        </w:rPr>
        <w:t>Oncor: 0.20%</w:t>
      </w:r>
    </w:p>
    <w:p w14:paraId="1478A800" w14:textId="3D349511" w:rsidR="00CC5CFE" w:rsidRPr="00A23A6D" w:rsidRDefault="008C2A2F" w:rsidP="001A2190">
      <w:pPr>
        <w:pStyle w:val="Default"/>
        <w:spacing w:line="480" w:lineRule="auto"/>
        <w:ind w:firstLine="720"/>
        <w:jc w:val="both"/>
        <w:rPr>
          <w:rFonts w:ascii="Times New Roman" w:hAnsi="Times New Roman" w:cs="Times New Roman"/>
          <w:color w:val="auto"/>
        </w:rPr>
      </w:pPr>
      <w:r w:rsidRPr="00A23A6D">
        <w:rPr>
          <w:rFonts w:ascii="Times New Roman" w:hAnsi="Times New Roman" w:cs="Times New Roman"/>
          <w:color w:val="auto"/>
        </w:rPr>
        <w:t>It is important to note that</w:t>
      </w:r>
      <w:r w:rsidR="0074185E" w:rsidRPr="00A23A6D">
        <w:rPr>
          <w:rFonts w:ascii="Times New Roman" w:hAnsi="Times New Roman" w:cs="Times New Roman"/>
          <w:color w:val="auto"/>
        </w:rPr>
        <w:t xml:space="preserve"> </w:t>
      </w:r>
      <w:r w:rsidR="00CC5CFE" w:rsidRPr="00A23A6D">
        <w:rPr>
          <w:rFonts w:ascii="Times New Roman" w:hAnsi="Times New Roman" w:cs="Times New Roman"/>
          <w:color w:val="auto"/>
        </w:rPr>
        <w:t xml:space="preserve">Houston </w:t>
      </w:r>
      <w:r w:rsidR="008108B4" w:rsidRPr="00A23A6D">
        <w:rPr>
          <w:rFonts w:ascii="Times New Roman" w:hAnsi="Times New Roman" w:cs="Times New Roman"/>
          <w:color w:val="auto"/>
        </w:rPr>
        <w:t>has established goals</w:t>
      </w:r>
      <w:r w:rsidR="00CC5CFE" w:rsidRPr="00A23A6D">
        <w:rPr>
          <w:rFonts w:ascii="Times New Roman" w:hAnsi="Times New Roman" w:cs="Times New Roman"/>
          <w:color w:val="auto"/>
        </w:rPr>
        <w:t xml:space="preserve"> to reduce building energy use, expand investment in energy efficiency</w:t>
      </w:r>
      <w:r w:rsidR="008108B4" w:rsidRPr="00A23A6D">
        <w:rPr>
          <w:rFonts w:ascii="Times New Roman" w:hAnsi="Times New Roman" w:cs="Times New Roman"/>
          <w:color w:val="auto"/>
        </w:rPr>
        <w:t>,</w:t>
      </w:r>
      <w:r w:rsidR="00CC5CFE" w:rsidRPr="00A23A6D">
        <w:rPr>
          <w:rFonts w:ascii="Times New Roman" w:hAnsi="Times New Roman" w:cs="Times New Roman"/>
          <w:color w:val="auto"/>
        </w:rPr>
        <w:t xml:space="preserve"> and invest in skilled jobs to optimize building operations. </w:t>
      </w:r>
      <w:r w:rsidR="008108B4" w:rsidRPr="00A23A6D">
        <w:rPr>
          <w:rFonts w:ascii="Times New Roman" w:hAnsi="Times New Roman" w:cs="Times New Roman"/>
          <w:color w:val="auto"/>
        </w:rPr>
        <w:t xml:space="preserve">Expanding </w:t>
      </w:r>
      <w:r w:rsidR="00CC5CFE" w:rsidRPr="00A23A6D">
        <w:rPr>
          <w:rFonts w:ascii="Times New Roman" w:hAnsi="Times New Roman" w:cs="Times New Roman"/>
          <w:color w:val="auto"/>
        </w:rPr>
        <w:t>utility energy efficiency financing and incentive programs</w:t>
      </w:r>
      <w:r w:rsidR="008108B4" w:rsidRPr="00A23A6D">
        <w:rPr>
          <w:rFonts w:ascii="Times New Roman" w:hAnsi="Times New Roman" w:cs="Times New Roman"/>
          <w:color w:val="auto"/>
        </w:rPr>
        <w:t xml:space="preserve"> will help Houston achieve its goals</w:t>
      </w:r>
      <w:r w:rsidR="00CC5CFE" w:rsidRPr="00A23A6D">
        <w:rPr>
          <w:rFonts w:ascii="Times New Roman" w:hAnsi="Times New Roman" w:cs="Times New Roman"/>
          <w:color w:val="auto"/>
        </w:rPr>
        <w:t xml:space="preserve">. </w:t>
      </w:r>
    </w:p>
    <w:p w14:paraId="7BC7F3B7" w14:textId="6C3422AA" w:rsidR="0053323D" w:rsidRPr="00A23A6D" w:rsidRDefault="008C2A2F" w:rsidP="00CF3FF8">
      <w:pPr>
        <w:autoSpaceDE w:val="0"/>
        <w:autoSpaceDN w:val="0"/>
        <w:adjustRightInd w:val="0"/>
        <w:spacing w:line="480" w:lineRule="auto"/>
        <w:ind w:firstLine="720"/>
        <w:rPr>
          <w:szCs w:val="24"/>
        </w:rPr>
      </w:pPr>
      <w:r w:rsidRPr="00A23A6D">
        <w:rPr>
          <w:szCs w:val="24"/>
        </w:rPr>
        <w:t xml:space="preserve">Last, </w:t>
      </w:r>
      <w:r w:rsidR="001E45D6" w:rsidRPr="00A23A6D">
        <w:rPr>
          <w:szCs w:val="24"/>
        </w:rPr>
        <w:t xml:space="preserve">an August 2023 </w:t>
      </w:r>
      <w:r w:rsidR="002400A3" w:rsidRPr="00A23A6D">
        <w:rPr>
          <w:szCs w:val="24"/>
        </w:rPr>
        <w:t>ACEEE</w:t>
      </w:r>
      <w:r w:rsidR="001E45D6" w:rsidRPr="00A23A6D">
        <w:rPr>
          <w:szCs w:val="24"/>
        </w:rPr>
        <w:t xml:space="preserve"> report found that a set of 10 </w:t>
      </w:r>
      <w:r w:rsidR="001F656E" w:rsidRPr="00A23A6D">
        <w:rPr>
          <w:szCs w:val="24"/>
        </w:rPr>
        <w:t xml:space="preserve">cost effective </w:t>
      </w:r>
      <w:r w:rsidR="001E45D6" w:rsidRPr="00A23A6D">
        <w:rPr>
          <w:szCs w:val="24"/>
        </w:rPr>
        <w:t>energy efficiency and demand responses retrofit measures</w:t>
      </w:r>
      <w:r w:rsidR="003C7E75" w:rsidRPr="00A23A6D">
        <w:rPr>
          <w:szCs w:val="24"/>
        </w:rPr>
        <w:t>,</w:t>
      </w:r>
      <w:r w:rsidR="001E45D6" w:rsidRPr="00A23A6D">
        <w:rPr>
          <w:szCs w:val="24"/>
        </w:rPr>
        <w:t xml:space="preserve"> deployed aggressively under</w:t>
      </w:r>
      <w:r w:rsidR="00CF3FF8" w:rsidRPr="00A23A6D">
        <w:rPr>
          <w:szCs w:val="24"/>
        </w:rPr>
        <w:t xml:space="preserve"> </w:t>
      </w:r>
      <w:r w:rsidR="001E45D6" w:rsidRPr="00A23A6D">
        <w:rPr>
          <w:szCs w:val="24"/>
        </w:rPr>
        <w:t>statewide direction over the 2024–2030 period, could serve over 14 million Texas</w:t>
      </w:r>
      <w:r w:rsidR="00CF3FF8" w:rsidRPr="00A23A6D">
        <w:rPr>
          <w:szCs w:val="24"/>
        </w:rPr>
        <w:t xml:space="preserve"> </w:t>
      </w:r>
      <w:r w:rsidR="001E45D6" w:rsidRPr="00A23A6D">
        <w:rPr>
          <w:szCs w:val="24"/>
        </w:rPr>
        <w:t>households and offset about 15,000 MW of summer peak load and 25,300 MW of winter</w:t>
      </w:r>
      <w:r w:rsidR="00CF3FF8" w:rsidRPr="00A23A6D">
        <w:rPr>
          <w:szCs w:val="24"/>
        </w:rPr>
        <w:t xml:space="preserve"> peak load</w:t>
      </w:r>
      <w:r w:rsidR="00E049B1" w:rsidRPr="00A23A6D">
        <w:rPr>
          <w:szCs w:val="24"/>
        </w:rPr>
        <w:t xml:space="preserve"> by 2030.</w:t>
      </w:r>
      <w:r w:rsidR="00080B25" w:rsidRPr="00A23A6D">
        <w:rPr>
          <w:rStyle w:val="FootnoteReference"/>
          <w:szCs w:val="24"/>
        </w:rPr>
        <w:footnoteReference w:id="11"/>
      </w:r>
      <w:r w:rsidR="00E049B1" w:rsidRPr="00A23A6D">
        <w:rPr>
          <w:szCs w:val="24"/>
        </w:rPr>
        <w:t xml:space="preserve"> </w:t>
      </w:r>
      <w:r w:rsidR="00AA5E7E" w:rsidRPr="00A23A6D">
        <w:rPr>
          <w:szCs w:val="24"/>
        </w:rPr>
        <w:t>Houston points out that th</w:t>
      </w:r>
      <w:r w:rsidR="00A908C8" w:rsidRPr="00A23A6D">
        <w:rPr>
          <w:szCs w:val="24"/>
        </w:rPr>
        <w:t xml:space="preserve">is 15,000 MW amount of available potential for </w:t>
      </w:r>
      <w:r w:rsidR="009C2A75" w:rsidRPr="00A23A6D">
        <w:rPr>
          <w:szCs w:val="24"/>
        </w:rPr>
        <w:t>summer peak load</w:t>
      </w:r>
      <w:r w:rsidR="00A908C8" w:rsidRPr="00A23A6D">
        <w:rPr>
          <w:szCs w:val="24"/>
        </w:rPr>
        <w:t xml:space="preserve"> reduction is almost </w:t>
      </w:r>
      <w:r w:rsidR="009C2A75" w:rsidRPr="00A23A6D">
        <w:rPr>
          <w:szCs w:val="24"/>
        </w:rPr>
        <w:t>two and one-half</w:t>
      </w:r>
      <w:r w:rsidR="00A908C8" w:rsidRPr="00A23A6D">
        <w:rPr>
          <w:szCs w:val="24"/>
        </w:rPr>
        <w:t xml:space="preserve"> time</w:t>
      </w:r>
      <w:r w:rsidR="009C2A75" w:rsidRPr="00A23A6D">
        <w:rPr>
          <w:szCs w:val="24"/>
        </w:rPr>
        <w:t>s</w:t>
      </w:r>
      <w:r w:rsidR="00A908C8" w:rsidRPr="00A23A6D">
        <w:rPr>
          <w:szCs w:val="24"/>
        </w:rPr>
        <w:t xml:space="preserve"> more than the</w:t>
      </w:r>
      <w:r w:rsidR="00C37164" w:rsidRPr="00A23A6D">
        <w:rPr>
          <w:szCs w:val="24"/>
        </w:rPr>
        <w:t xml:space="preserve"> 6,279</w:t>
      </w:r>
      <w:r w:rsidR="00233C48" w:rsidRPr="00A23A6D">
        <w:rPr>
          <w:szCs w:val="24"/>
        </w:rPr>
        <w:t xml:space="preserve"> MW of load reduction</w:t>
      </w:r>
      <w:r w:rsidR="009C2A75" w:rsidRPr="00A23A6D">
        <w:rPr>
          <w:rStyle w:val="FootnoteReference"/>
          <w:szCs w:val="24"/>
        </w:rPr>
        <w:footnoteReference w:id="12"/>
      </w:r>
      <w:r w:rsidR="00233C48" w:rsidRPr="00A23A6D">
        <w:rPr>
          <w:szCs w:val="24"/>
        </w:rPr>
        <w:t xml:space="preserve"> that ERCOT has included in its </w:t>
      </w:r>
      <w:r w:rsidR="006E1E63" w:rsidRPr="00A23A6D">
        <w:rPr>
          <w:szCs w:val="24"/>
        </w:rPr>
        <w:t xml:space="preserve">latest Capacity, Demand and Reserves Report </w:t>
      </w:r>
      <w:r w:rsidR="00FB3374" w:rsidRPr="00A23A6D">
        <w:rPr>
          <w:szCs w:val="24"/>
        </w:rPr>
        <w:t>for the ERCOT Region for savings potential from energy efficiency and load management programs by 2030.</w:t>
      </w:r>
      <w:r w:rsidR="00FF6810" w:rsidRPr="00A23A6D">
        <w:rPr>
          <w:szCs w:val="24"/>
        </w:rPr>
        <w:t xml:space="preserve"> </w:t>
      </w:r>
    </w:p>
    <w:p w14:paraId="2722BADC" w14:textId="77777777" w:rsidR="0053323D" w:rsidRPr="00A23A6D" w:rsidRDefault="0053323D">
      <w:pPr>
        <w:spacing w:after="160" w:line="259" w:lineRule="auto"/>
        <w:jc w:val="left"/>
        <w:rPr>
          <w:szCs w:val="24"/>
        </w:rPr>
      </w:pPr>
      <w:r w:rsidRPr="00A23A6D">
        <w:rPr>
          <w:szCs w:val="24"/>
        </w:rPr>
        <w:br w:type="page"/>
      </w:r>
    </w:p>
    <w:p w14:paraId="3CEC25D5" w14:textId="5ED14AE8" w:rsidR="00ED0A08" w:rsidRPr="00A23A6D" w:rsidRDefault="00ED0A08" w:rsidP="00ED0A08">
      <w:pPr>
        <w:pStyle w:val="ListParagraph"/>
        <w:numPr>
          <w:ilvl w:val="0"/>
          <w:numId w:val="7"/>
        </w:numPr>
        <w:tabs>
          <w:tab w:val="left" w:pos="720"/>
        </w:tabs>
        <w:spacing w:line="250" w:lineRule="auto"/>
        <w:ind w:hanging="720"/>
        <w:rPr>
          <w:b/>
          <w:bCs/>
          <w:szCs w:val="24"/>
        </w:rPr>
      </w:pPr>
      <w:r w:rsidRPr="00A23A6D">
        <w:rPr>
          <w:rFonts w:eastAsiaTheme="minorEastAsia"/>
          <w:b/>
          <w:bCs/>
          <w:szCs w:val="24"/>
        </w:rPr>
        <w:lastRenderedPageBreak/>
        <w:t xml:space="preserve">In the upcoming rulemaking to implement SB 1699, what other issues should be considered? Should the existing energy efficiency rules be restructured? </w:t>
      </w:r>
      <w:r w:rsidRPr="00A23A6D">
        <w:rPr>
          <w:b/>
          <w:bCs/>
          <w:szCs w:val="24"/>
        </w:rPr>
        <w:t xml:space="preserve">Please discuss your rationale in detail. </w:t>
      </w:r>
    </w:p>
    <w:p w14:paraId="068B73F6" w14:textId="77777777" w:rsidR="002D7A5C" w:rsidRPr="00A23A6D" w:rsidRDefault="002D7A5C" w:rsidP="002D7A5C">
      <w:pPr>
        <w:pStyle w:val="ListParagraph"/>
        <w:tabs>
          <w:tab w:val="left" w:pos="720"/>
        </w:tabs>
        <w:spacing w:line="250" w:lineRule="auto"/>
        <w:rPr>
          <w:szCs w:val="24"/>
        </w:rPr>
      </w:pPr>
    </w:p>
    <w:p w14:paraId="3DCCC1CE" w14:textId="4097C4A4" w:rsidR="002D7A5C" w:rsidRPr="00A23A6D" w:rsidRDefault="002D7A5C" w:rsidP="002D7A5C">
      <w:pPr>
        <w:pStyle w:val="Default"/>
        <w:spacing w:line="480" w:lineRule="auto"/>
        <w:ind w:firstLine="720"/>
        <w:rPr>
          <w:rFonts w:ascii="Times New Roman" w:hAnsi="Times New Roman" w:cs="Times New Roman"/>
          <w:color w:val="auto"/>
        </w:rPr>
      </w:pPr>
      <w:r w:rsidRPr="00A23A6D">
        <w:rPr>
          <w:rFonts w:ascii="Times New Roman" w:hAnsi="Times New Roman" w:cs="Times New Roman"/>
          <w:color w:val="auto"/>
        </w:rPr>
        <w:t xml:space="preserve">Houston identified </w:t>
      </w:r>
      <w:proofErr w:type="gramStart"/>
      <w:r w:rsidRPr="00A23A6D">
        <w:rPr>
          <w:rFonts w:ascii="Times New Roman" w:hAnsi="Times New Roman" w:cs="Times New Roman"/>
          <w:color w:val="auto"/>
        </w:rPr>
        <w:t>a number of</w:t>
      </w:r>
      <w:proofErr w:type="gramEnd"/>
      <w:r w:rsidRPr="00A23A6D">
        <w:rPr>
          <w:rFonts w:ascii="Times New Roman" w:hAnsi="Times New Roman" w:cs="Times New Roman"/>
          <w:color w:val="auto"/>
        </w:rPr>
        <w:t xml:space="preserve"> issues that should be considered in the upcoming rulemaking to implement SB 1699. Here is a list of these issues:</w:t>
      </w:r>
    </w:p>
    <w:p w14:paraId="7333E1A9" w14:textId="23BA7755" w:rsidR="002D7A5C" w:rsidRPr="00A23A6D" w:rsidRDefault="004E54F7" w:rsidP="002D7A5C">
      <w:pPr>
        <w:pStyle w:val="Default"/>
        <w:numPr>
          <w:ilvl w:val="0"/>
          <w:numId w:val="12"/>
        </w:numPr>
        <w:spacing w:line="480" w:lineRule="auto"/>
        <w:jc w:val="both"/>
        <w:rPr>
          <w:rFonts w:ascii="Times New Roman" w:hAnsi="Times New Roman" w:cs="Times New Roman"/>
          <w:color w:val="auto"/>
        </w:rPr>
      </w:pPr>
      <w:r w:rsidRPr="00A23A6D">
        <w:rPr>
          <w:rFonts w:ascii="Times New Roman" w:hAnsi="Times New Roman" w:cs="Times New Roman"/>
          <w:color w:val="auto"/>
        </w:rPr>
        <w:t xml:space="preserve">Clarify whether </w:t>
      </w:r>
      <w:r w:rsidR="002D7A5C" w:rsidRPr="00A23A6D">
        <w:rPr>
          <w:rFonts w:ascii="Times New Roman" w:hAnsi="Times New Roman" w:cs="Times New Roman"/>
          <w:color w:val="auto"/>
        </w:rPr>
        <w:t>SB 1699 prohibit</w:t>
      </w:r>
      <w:r w:rsidR="00B176C1" w:rsidRPr="00A23A6D">
        <w:rPr>
          <w:rFonts w:ascii="Times New Roman" w:hAnsi="Times New Roman" w:cs="Times New Roman"/>
          <w:color w:val="auto"/>
        </w:rPr>
        <w:t>s</w:t>
      </w:r>
      <w:r w:rsidR="002D7A5C" w:rsidRPr="00A23A6D">
        <w:rPr>
          <w:rFonts w:ascii="Times New Roman" w:hAnsi="Times New Roman" w:cs="Times New Roman"/>
          <w:color w:val="auto"/>
        </w:rPr>
        <w:t xml:space="preserve"> homeowners from generating electricity with rooftop solar photovoltaic panels or wind turbines unless they have registered with the </w:t>
      </w:r>
      <w:r w:rsidR="00B176C1" w:rsidRPr="00A23A6D">
        <w:rPr>
          <w:rFonts w:ascii="Times New Roman" w:hAnsi="Times New Roman" w:cs="Times New Roman"/>
          <w:color w:val="auto"/>
        </w:rPr>
        <w:t>C</w:t>
      </w:r>
      <w:r w:rsidR="002D7A5C" w:rsidRPr="00A23A6D">
        <w:rPr>
          <w:rFonts w:ascii="Times New Roman" w:hAnsi="Times New Roman" w:cs="Times New Roman"/>
          <w:color w:val="auto"/>
        </w:rPr>
        <w:t>ommission as a power generation company</w:t>
      </w:r>
      <w:r w:rsidR="00737A4A" w:rsidRPr="00A23A6D">
        <w:rPr>
          <w:rFonts w:ascii="Times New Roman" w:hAnsi="Times New Roman" w:cs="Times New Roman"/>
          <w:color w:val="auto"/>
        </w:rPr>
        <w:t>,</w:t>
      </w:r>
    </w:p>
    <w:p w14:paraId="28650AD4" w14:textId="0B357744" w:rsidR="002D7A5C" w:rsidRPr="00A23A6D" w:rsidRDefault="001E68EB" w:rsidP="002D7A5C">
      <w:pPr>
        <w:pStyle w:val="Default"/>
        <w:numPr>
          <w:ilvl w:val="0"/>
          <w:numId w:val="12"/>
        </w:numPr>
        <w:spacing w:line="480" w:lineRule="auto"/>
        <w:jc w:val="both"/>
        <w:rPr>
          <w:rFonts w:ascii="Times New Roman" w:hAnsi="Times New Roman" w:cs="Times New Roman"/>
          <w:color w:val="auto"/>
        </w:rPr>
      </w:pPr>
      <w:r w:rsidRPr="00A23A6D">
        <w:rPr>
          <w:rFonts w:ascii="Times New Roman" w:hAnsi="Times New Roman" w:cs="Times New Roman"/>
          <w:color w:val="auto"/>
        </w:rPr>
        <w:t xml:space="preserve">Public Utility Regulatory Act (PURA) </w:t>
      </w:r>
      <w:r w:rsidR="00A23A6D" w:rsidRPr="00A23A6D">
        <w:rPr>
          <w:rFonts w:ascii="Times New Roman" w:hAnsi="Times New Roman" w:cs="Times New Roman"/>
        </w:rPr>
        <w:t>§</w:t>
      </w:r>
      <w:r w:rsidR="00681555" w:rsidRPr="00A23A6D">
        <w:rPr>
          <w:rFonts w:ascii="Times New Roman" w:hAnsi="Times New Roman" w:cs="Times New Roman"/>
          <w:color w:val="auto"/>
        </w:rPr>
        <w:t>39.101</w:t>
      </w:r>
      <w:r w:rsidR="006556CB" w:rsidRPr="00A23A6D">
        <w:rPr>
          <w:rFonts w:ascii="Times New Roman" w:hAnsi="Times New Roman" w:cs="Times New Roman"/>
          <w:color w:val="auto"/>
        </w:rPr>
        <w:t xml:space="preserve"> </w:t>
      </w:r>
      <w:r w:rsidR="002B6747" w:rsidRPr="00A23A6D">
        <w:rPr>
          <w:rFonts w:ascii="Times New Roman" w:hAnsi="Times New Roman" w:cs="Times New Roman"/>
          <w:color w:val="auto"/>
        </w:rPr>
        <w:t>(b)(3)</w:t>
      </w:r>
      <w:r w:rsidR="002D7A5C" w:rsidRPr="00A23A6D">
        <w:rPr>
          <w:rFonts w:ascii="Times New Roman" w:hAnsi="Times New Roman" w:cs="Times New Roman"/>
          <w:color w:val="auto"/>
        </w:rPr>
        <w:t xml:space="preserve"> requires that a customer have access to providers of</w:t>
      </w:r>
      <w:r w:rsidR="008F325A" w:rsidRPr="00A23A6D">
        <w:rPr>
          <w:rFonts w:ascii="Times New Roman" w:hAnsi="Times New Roman" w:cs="Times New Roman"/>
          <w:color w:val="auto"/>
        </w:rPr>
        <w:t xml:space="preserve"> en</w:t>
      </w:r>
      <w:r w:rsidR="002D7A5C" w:rsidRPr="00A23A6D">
        <w:rPr>
          <w:rFonts w:ascii="Times New Roman" w:hAnsi="Times New Roman" w:cs="Times New Roman"/>
          <w:color w:val="auto"/>
        </w:rPr>
        <w:t xml:space="preserve">ergy efficiency services (as well as on-site distributed generation) and have access to providers of energy generated by renewable energy generation. </w:t>
      </w:r>
      <w:r w:rsidR="007406B8" w:rsidRPr="00A23A6D">
        <w:rPr>
          <w:rFonts w:ascii="Times New Roman" w:hAnsi="Times New Roman" w:cs="Times New Roman"/>
          <w:color w:val="auto"/>
        </w:rPr>
        <w:t xml:space="preserve">In the upcoming rulemaking, Houston recommends </w:t>
      </w:r>
      <w:r w:rsidR="00B0031E" w:rsidRPr="00A23A6D">
        <w:rPr>
          <w:rFonts w:ascii="Times New Roman" w:hAnsi="Times New Roman" w:cs="Times New Roman"/>
          <w:color w:val="auto"/>
        </w:rPr>
        <w:t xml:space="preserve">clarifying </w:t>
      </w:r>
      <w:r w:rsidR="001429F2" w:rsidRPr="00A23A6D">
        <w:rPr>
          <w:rFonts w:ascii="Times New Roman" w:hAnsi="Times New Roman" w:cs="Times New Roman"/>
          <w:color w:val="auto"/>
        </w:rPr>
        <w:t xml:space="preserve">the </w:t>
      </w:r>
      <w:r w:rsidR="00995466" w:rsidRPr="00A23A6D">
        <w:rPr>
          <w:rFonts w:ascii="Times New Roman" w:hAnsi="Times New Roman" w:cs="Times New Roman"/>
          <w:color w:val="auto"/>
        </w:rPr>
        <w:t>retailer electric providers’ (</w:t>
      </w:r>
      <w:r w:rsidR="001429F2" w:rsidRPr="00A23A6D">
        <w:rPr>
          <w:rFonts w:ascii="Times New Roman" w:hAnsi="Times New Roman" w:cs="Times New Roman"/>
          <w:color w:val="auto"/>
        </w:rPr>
        <w:t>REP</w:t>
      </w:r>
      <w:r w:rsidR="00995466" w:rsidRPr="00A23A6D">
        <w:rPr>
          <w:rFonts w:ascii="Times New Roman" w:hAnsi="Times New Roman" w:cs="Times New Roman"/>
          <w:color w:val="auto"/>
        </w:rPr>
        <w:t>)</w:t>
      </w:r>
      <w:r w:rsidR="001429F2" w:rsidRPr="00A23A6D">
        <w:rPr>
          <w:rFonts w:ascii="Times New Roman" w:hAnsi="Times New Roman" w:cs="Times New Roman"/>
          <w:color w:val="auto"/>
        </w:rPr>
        <w:t xml:space="preserve"> </w:t>
      </w:r>
      <w:r w:rsidR="001B35F0" w:rsidRPr="00A23A6D">
        <w:rPr>
          <w:rFonts w:ascii="Times New Roman" w:hAnsi="Times New Roman" w:cs="Times New Roman"/>
          <w:color w:val="auto"/>
        </w:rPr>
        <w:t>responsibilities</w:t>
      </w:r>
      <w:r w:rsidR="001429F2" w:rsidRPr="00A23A6D">
        <w:rPr>
          <w:rFonts w:ascii="Times New Roman" w:hAnsi="Times New Roman" w:cs="Times New Roman"/>
          <w:color w:val="auto"/>
        </w:rPr>
        <w:t xml:space="preserve">. </w:t>
      </w:r>
      <w:r w:rsidR="002D7A5C" w:rsidRPr="00A23A6D">
        <w:rPr>
          <w:rFonts w:ascii="Times New Roman" w:hAnsi="Times New Roman" w:cs="Times New Roman"/>
          <w:color w:val="auto"/>
        </w:rPr>
        <w:t xml:space="preserve">Does </w:t>
      </w:r>
      <w:r w:rsidR="00A23A6D" w:rsidRPr="00A23A6D">
        <w:rPr>
          <w:rFonts w:ascii="Times New Roman" w:hAnsi="Times New Roman" w:cs="Times New Roman"/>
        </w:rPr>
        <w:t>§</w:t>
      </w:r>
      <w:r w:rsidR="000363B3" w:rsidRPr="00A23A6D">
        <w:rPr>
          <w:rFonts w:ascii="Times New Roman" w:hAnsi="Times New Roman" w:cs="Times New Roman"/>
          <w:color w:val="auto"/>
        </w:rPr>
        <w:t>39.101(b)(</w:t>
      </w:r>
      <w:r w:rsidR="00801EAB" w:rsidRPr="00A23A6D">
        <w:rPr>
          <w:rFonts w:ascii="Times New Roman" w:hAnsi="Times New Roman" w:cs="Times New Roman"/>
          <w:color w:val="auto"/>
        </w:rPr>
        <w:t>3) require</w:t>
      </w:r>
      <w:r w:rsidR="002D7A5C" w:rsidRPr="00A23A6D">
        <w:rPr>
          <w:rFonts w:ascii="Times New Roman" w:hAnsi="Times New Roman" w:cs="Times New Roman"/>
          <w:color w:val="auto"/>
        </w:rPr>
        <w:t xml:space="preserve"> </w:t>
      </w:r>
      <w:r w:rsidR="0047594C" w:rsidRPr="00A23A6D">
        <w:rPr>
          <w:rFonts w:ascii="Times New Roman" w:hAnsi="Times New Roman" w:cs="Times New Roman"/>
          <w:color w:val="auto"/>
        </w:rPr>
        <w:t xml:space="preserve">or imply that </w:t>
      </w:r>
      <w:r w:rsidR="00B71D05" w:rsidRPr="00A23A6D">
        <w:rPr>
          <w:rFonts w:ascii="Times New Roman" w:hAnsi="Times New Roman" w:cs="Times New Roman"/>
          <w:color w:val="auto"/>
        </w:rPr>
        <w:t>REPs</w:t>
      </w:r>
      <w:r w:rsidR="002D7A5C" w:rsidRPr="00A23A6D">
        <w:rPr>
          <w:rFonts w:ascii="Times New Roman" w:hAnsi="Times New Roman" w:cs="Times New Roman"/>
          <w:color w:val="auto"/>
        </w:rPr>
        <w:t xml:space="preserve"> design and implement energy efficiency programs? Second, </w:t>
      </w:r>
      <w:r w:rsidR="00D3611D" w:rsidRPr="00A23A6D">
        <w:rPr>
          <w:rFonts w:ascii="Times New Roman" w:hAnsi="Times New Roman" w:cs="Times New Roman"/>
          <w:color w:val="auto"/>
        </w:rPr>
        <w:t xml:space="preserve">does </w:t>
      </w:r>
      <w:r w:rsidR="00A23A6D" w:rsidRPr="00A23A6D">
        <w:rPr>
          <w:rFonts w:ascii="Times New Roman" w:hAnsi="Times New Roman" w:cs="Times New Roman"/>
        </w:rPr>
        <w:t>§</w:t>
      </w:r>
      <w:r w:rsidR="00D3611D" w:rsidRPr="00A23A6D">
        <w:rPr>
          <w:rFonts w:ascii="Times New Roman" w:hAnsi="Times New Roman" w:cs="Times New Roman"/>
          <w:color w:val="auto"/>
        </w:rPr>
        <w:t>39.101(b)(3)</w:t>
      </w:r>
      <w:r w:rsidR="00A11F90" w:rsidRPr="00A23A6D">
        <w:rPr>
          <w:rFonts w:ascii="Times New Roman" w:hAnsi="Times New Roman" w:cs="Times New Roman"/>
          <w:color w:val="auto"/>
        </w:rPr>
        <w:t xml:space="preserve"> </w:t>
      </w:r>
      <w:r w:rsidR="00D3611D" w:rsidRPr="00A23A6D">
        <w:rPr>
          <w:rFonts w:ascii="Times New Roman" w:hAnsi="Times New Roman" w:cs="Times New Roman"/>
          <w:color w:val="auto"/>
        </w:rPr>
        <w:t xml:space="preserve">require </w:t>
      </w:r>
      <w:r w:rsidR="00A11F90" w:rsidRPr="00A23A6D">
        <w:rPr>
          <w:rFonts w:ascii="Times New Roman" w:hAnsi="Times New Roman" w:cs="Times New Roman"/>
          <w:color w:val="auto"/>
        </w:rPr>
        <w:t xml:space="preserve">REPs to </w:t>
      </w:r>
      <w:r w:rsidR="002D7A5C" w:rsidRPr="00A23A6D">
        <w:rPr>
          <w:rFonts w:ascii="Times New Roman" w:hAnsi="Times New Roman" w:cs="Times New Roman"/>
          <w:color w:val="auto"/>
        </w:rPr>
        <w:t xml:space="preserve">provide information to customers to enable them to find energy efficiency programs offered by utilities and government agencies in Texas and to enable them to sign up for such programs? Will the rulemaking specify all the responsibilities that </w:t>
      </w:r>
      <w:r w:rsidR="004609CF" w:rsidRPr="00A23A6D">
        <w:rPr>
          <w:rFonts w:ascii="Times New Roman" w:hAnsi="Times New Roman" w:cs="Times New Roman"/>
          <w:color w:val="auto"/>
        </w:rPr>
        <w:t>REPs</w:t>
      </w:r>
      <w:r w:rsidR="002D7A5C" w:rsidRPr="00A23A6D">
        <w:rPr>
          <w:rFonts w:ascii="Times New Roman" w:hAnsi="Times New Roman" w:cs="Times New Roman"/>
          <w:color w:val="auto"/>
        </w:rPr>
        <w:t xml:space="preserve"> </w:t>
      </w:r>
      <w:proofErr w:type="gramStart"/>
      <w:r w:rsidR="002D7A5C" w:rsidRPr="00A23A6D">
        <w:rPr>
          <w:rFonts w:ascii="Times New Roman" w:hAnsi="Times New Roman" w:cs="Times New Roman"/>
          <w:color w:val="auto"/>
        </w:rPr>
        <w:t>have to</w:t>
      </w:r>
      <w:proofErr w:type="gramEnd"/>
      <w:r w:rsidR="002D7A5C" w:rsidRPr="00A23A6D">
        <w:rPr>
          <w:rFonts w:ascii="Times New Roman" w:hAnsi="Times New Roman" w:cs="Times New Roman"/>
          <w:color w:val="auto"/>
        </w:rPr>
        <w:t xml:space="preserve"> provide access to customers to providers of energy efficiency services?</w:t>
      </w:r>
    </w:p>
    <w:p w14:paraId="475D395D" w14:textId="07F7FB99" w:rsidR="002D7A5C" w:rsidRPr="00A23A6D" w:rsidRDefault="002D7A5C" w:rsidP="002D7A5C">
      <w:pPr>
        <w:pStyle w:val="Default"/>
        <w:numPr>
          <w:ilvl w:val="0"/>
          <w:numId w:val="12"/>
        </w:numPr>
        <w:spacing w:line="480" w:lineRule="auto"/>
        <w:jc w:val="both"/>
        <w:rPr>
          <w:rFonts w:ascii="Times New Roman" w:hAnsi="Times New Roman" w:cs="Times New Roman"/>
          <w:color w:val="auto"/>
        </w:rPr>
      </w:pPr>
      <w:r w:rsidRPr="00A23A6D">
        <w:rPr>
          <w:rFonts w:ascii="Times New Roman" w:hAnsi="Times New Roman" w:cs="Times New Roman"/>
          <w:color w:val="auto"/>
        </w:rPr>
        <w:t xml:space="preserve">SB 1699 allows a </w:t>
      </w:r>
      <w:r w:rsidR="00E521FD" w:rsidRPr="00A23A6D">
        <w:rPr>
          <w:rFonts w:ascii="Times New Roman" w:hAnsi="Times New Roman" w:cs="Times New Roman"/>
          <w:color w:val="auto"/>
        </w:rPr>
        <w:t>REP</w:t>
      </w:r>
      <w:r w:rsidRPr="00A23A6D">
        <w:rPr>
          <w:rFonts w:ascii="Times New Roman" w:hAnsi="Times New Roman" w:cs="Times New Roman"/>
          <w:color w:val="auto"/>
        </w:rPr>
        <w:t xml:space="preserve"> that offers a demand response program to obtain funding for the demand response program</w:t>
      </w:r>
      <w:r w:rsidR="00E521FD" w:rsidRPr="00A23A6D">
        <w:rPr>
          <w:rFonts w:ascii="Times New Roman" w:hAnsi="Times New Roman" w:cs="Times New Roman"/>
          <w:color w:val="auto"/>
        </w:rPr>
        <w:t>s</w:t>
      </w:r>
      <w:r w:rsidRPr="00A23A6D">
        <w:rPr>
          <w:rFonts w:ascii="Times New Roman" w:hAnsi="Times New Roman" w:cs="Times New Roman"/>
          <w:color w:val="auto"/>
        </w:rPr>
        <w:t xml:space="preserve"> through an energy efficiency in</w:t>
      </w:r>
      <w:r w:rsidR="008A0AC8" w:rsidRPr="00A23A6D">
        <w:rPr>
          <w:rFonts w:ascii="Times New Roman" w:hAnsi="Times New Roman" w:cs="Times New Roman"/>
          <w:color w:val="auto"/>
        </w:rPr>
        <w:t>c</w:t>
      </w:r>
      <w:r w:rsidRPr="00A23A6D">
        <w:rPr>
          <w:rFonts w:ascii="Times New Roman" w:hAnsi="Times New Roman" w:cs="Times New Roman"/>
          <w:color w:val="auto"/>
        </w:rPr>
        <w:t xml:space="preserve">entive program established under Section 39.905 if the program complies with commission requirements. </w:t>
      </w:r>
      <w:r w:rsidR="00524BCE" w:rsidRPr="00A23A6D">
        <w:rPr>
          <w:rFonts w:ascii="Times New Roman" w:hAnsi="Times New Roman" w:cs="Times New Roman"/>
          <w:color w:val="auto"/>
        </w:rPr>
        <w:t xml:space="preserve">Houston recommends that the </w:t>
      </w:r>
      <w:r w:rsidR="006225BB" w:rsidRPr="00A23A6D">
        <w:rPr>
          <w:rFonts w:ascii="Times New Roman" w:hAnsi="Times New Roman" w:cs="Times New Roman"/>
          <w:color w:val="auto"/>
        </w:rPr>
        <w:t xml:space="preserve">upcoming </w:t>
      </w:r>
      <w:r w:rsidR="00524BCE" w:rsidRPr="00A23A6D">
        <w:rPr>
          <w:rFonts w:ascii="Times New Roman" w:hAnsi="Times New Roman" w:cs="Times New Roman"/>
          <w:color w:val="auto"/>
        </w:rPr>
        <w:t>rulemaking</w:t>
      </w:r>
      <w:r w:rsidR="006225BB" w:rsidRPr="00A23A6D">
        <w:rPr>
          <w:rFonts w:ascii="Times New Roman" w:hAnsi="Times New Roman" w:cs="Times New Roman"/>
          <w:color w:val="auto"/>
        </w:rPr>
        <w:t xml:space="preserve"> clarify how </w:t>
      </w:r>
      <w:r w:rsidR="00893D95" w:rsidRPr="00A23A6D">
        <w:rPr>
          <w:rFonts w:ascii="Times New Roman" w:hAnsi="Times New Roman" w:cs="Times New Roman"/>
          <w:color w:val="auto"/>
        </w:rPr>
        <w:t xml:space="preserve">an </w:t>
      </w:r>
      <w:proofErr w:type="gramStart"/>
      <w:r w:rsidR="00893D95" w:rsidRPr="00A23A6D">
        <w:rPr>
          <w:rFonts w:ascii="Times New Roman" w:hAnsi="Times New Roman" w:cs="Times New Roman"/>
          <w:color w:val="auto"/>
        </w:rPr>
        <w:t>REP</w:t>
      </w:r>
      <w:proofErr w:type="gramEnd"/>
      <w:r w:rsidRPr="00A23A6D">
        <w:rPr>
          <w:rFonts w:ascii="Times New Roman" w:hAnsi="Times New Roman" w:cs="Times New Roman"/>
          <w:color w:val="auto"/>
        </w:rPr>
        <w:t xml:space="preserve"> </w:t>
      </w:r>
      <w:r w:rsidR="00FB3890" w:rsidRPr="00A23A6D">
        <w:rPr>
          <w:rFonts w:ascii="Times New Roman" w:hAnsi="Times New Roman" w:cs="Times New Roman"/>
          <w:color w:val="auto"/>
        </w:rPr>
        <w:t xml:space="preserve">or a </w:t>
      </w:r>
      <w:r w:rsidR="00C40A0E" w:rsidRPr="00A23A6D">
        <w:rPr>
          <w:rFonts w:ascii="Times New Roman" w:hAnsi="Times New Roman" w:cs="Times New Roman"/>
          <w:color w:val="auto"/>
        </w:rPr>
        <w:t xml:space="preserve">transmission &amp; distribution </w:t>
      </w:r>
      <w:r w:rsidR="00FB3890" w:rsidRPr="00A23A6D">
        <w:rPr>
          <w:rFonts w:ascii="Times New Roman" w:hAnsi="Times New Roman" w:cs="Times New Roman"/>
          <w:color w:val="auto"/>
        </w:rPr>
        <w:t xml:space="preserve">utility </w:t>
      </w:r>
      <w:r w:rsidR="006225BB" w:rsidRPr="00A23A6D">
        <w:rPr>
          <w:rFonts w:ascii="Times New Roman" w:hAnsi="Times New Roman" w:cs="Times New Roman"/>
          <w:color w:val="auto"/>
        </w:rPr>
        <w:t xml:space="preserve">will </w:t>
      </w:r>
      <w:r w:rsidRPr="00A23A6D">
        <w:rPr>
          <w:rFonts w:ascii="Times New Roman" w:hAnsi="Times New Roman" w:cs="Times New Roman"/>
          <w:color w:val="auto"/>
        </w:rPr>
        <w:t>secure this funding for a demand response program that it offers</w:t>
      </w:r>
      <w:r w:rsidR="006225BB" w:rsidRPr="00A23A6D">
        <w:rPr>
          <w:rFonts w:ascii="Times New Roman" w:hAnsi="Times New Roman" w:cs="Times New Roman"/>
          <w:color w:val="auto"/>
        </w:rPr>
        <w:t xml:space="preserve">. </w:t>
      </w:r>
    </w:p>
    <w:p w14:paraId="4A19A380" w14:textId="2BE877F9" w:rsidR="00102EDA" w:rsidRPr="00A23A6D" w:rsidRDefault="00102EDA" w:rsidP="00102EDA">
      <w:pPr>
        <w:pStyle w:val="ListParagraph"/>
        <w:numPr>
          <w:ilvl w:val="0"/>
          <w:numId w:val="7"/>
        </w:numPr>
        <w:tabs>
          <w:tab w:val="left" w:pos="720"/>
        </w:tabs>
        <w:spacing w:line="250" w:lineRule="auto"/>
        <w:ind w:hanging="720"/>
        <w:rPr>
          <w:b/>
          <w:bCs/>
          <w:szCs w:val="24"/>
        </w:rPr>
      </w:pPr>
      <w:r w:rsidRPr="00A23A6D">
        <w:rPr>
          <w:rFonts w:eastAsiaTheme="minorEastAsia"/>
          <w:b/>
          <w:bCs/>
          <w:szCs w:val="24"/>
        </w:rPr>
        <w:lastRenderedPageBreak/>
        <w:t>What activities should the Energy Efficiency division prioritize over the next twelve months?</w:t>
      </w:r>
    </w:p>
    <w:p w14:paraId="6BBABF5C" w14:textId="77777777" w:rsidR="00F9373E" w:rsidRPr="00A23A6D" w:rsidRDefault="00F9373E" w:rsidP="00F9373E">
      <w:pPr>
        <w:pStyle w:val="ListParagraph"/>
        <w:tabs>
          <w:tab w:val="left" w:pos="720"/>
        </w:tabs>
        <w:spacing w:line="250" w:lineRule="auto"/>
        <w:rPr>
          <w:b/>
          <w:bCs/>
          <w:szCs w:val="24"/>
        </w:rPr>
      </w:pPr>
    </w:p>
    <w:p w14:paraId="2CB9F729" w14:textId="3FEB5334" w:rsidR="009A7FAE" w:rsidRPr="00A23A6D" w:rsidRDefault="009A7FAE" w:rsidP="009A7FAE">
      <w:pPr>
        <w:spacing w:line="480" w:lineRule="auto"/>
        <w:ind w:firstLine="720"/>
        <w:rPr>
          <w:szCs w:val="24"/>
        </w:rPr>
      </w:pPr>
      <w:r w:rsidRPr="00A23A6D">
        <w:rPr>
          <w:szCs w:val="24"/>
        </w:rPr>
        <w:t>Houston recommends that the Energy</w:t>
      </w:r>
      <w:r w:rsidR="00FC6F89" w:rsidRPr="00A23A6D">
        <w:rPr>
          <w:szCs w:val="24"/>
        </w:rPr>
        <w:t xml:space="preserve"> Efficiency</w:t>
      </w:r>
      <w:r w:rsidRPr="00A23A6D">
        <w:rPr>
          <w:szCs w:val="24"/>
        </w:rPr>
        <w:t xml:space="preserve"> Division’s priorities focus on the following activities over the next 12 months:</w:t>
      </w:r>
    </w:p>
    <w:p w14:paraId="754B9A30" w14:textId="27480531" w:rsidR="009A7FAE" w:rsidRPr="00A23A6D" w:rsidRDefault="009A7FAE" w:rsidP="00E728CE">
      <w:pPr>
        <w:pStyle w:val="Default"/>
        <w:numPr>
          <w:ilvl w:val="0"/>
          <w:numId w:val="14"/>
        </w:numPr>
        <w:spacing w:line="480" w:lineRule="auto"/>
        <w:jc w:val="both"/>
        <w:rPr>
          <w:rFonts w:ascii="Times New Roman" w:hAnsi="Times New Roman" w:cs="Times New Roman"/>
        </w:rPr>
      </w:pPr>
      <w:r w:rsidRPr="00A23A6D">
        <w:rPr>
          <w:rFonts w:ascii="Times New Roman" w:hAnsi="Times New Roman" w:cs="Times New Roman"/>
        </w:rPr>
        <w:t>Developing more aggressive energy efficiency savings goals</w:t>
      </w:r>
      <w:r w:rsidR="006715B7" w:rsidRPr="00A23A6D">
        <w:rPr>
          <w:rFonts w:ascii="Times New Roman" w:hAnsi="Times New Roman" w:cs="Times New Roman"/>
        </w:rPr>
        <w:t xml:space="preserve"> for all sectors</w:t>
      </w:r>
      <w:r w:rsidRPr="00A23A6D">
        <w:rPr>
          <w:rFonts w:ascii="Times New Roman" w:hAnsi="Times New Roman" w:cs="Times New Roman"/>
        </w:rPr>
        <w:t xml:space="preserve"> for energy efficiency programs implemented by regulated electric utilities in the state. As noted in </w:t>
      </w:r>
      <w:r w:rsidR="00C80B33" w:rsidRPr="00A23A6D">
        <w:rPr>
          <w:rFonts w:ascii="Times New Roman" w:hAnsi="Times New Roman" w:cs="Times New Roman"/>
        </w:rPr>
        <w:t xml:space="preserve">the City’s </w:t>
      </w:r>
      <w:r w:rsidRPr="00A23A6D">
        <w:rPr>
          <w:rFonts w:ascii="Times New Roman" w:hAnsi="Times New Roman" w:cs="Times New Roman"/>
        </w:rPr>
        <w:t xml:space="preserve">response to Question 5, the energy efficiency savings achieved by the Texas electric utilities included in the </w:t>
      </w:r>
      <w:r w:rsidR="001D30B6" w:rsidRPr="00A23A6D">
        <w:rPr>
          <w:rFonts w:ascii="Times New Roman" w:hAnsi="Times New Roman" w:cs="Times New Roman"/>
        </w:rPr>
        <w:t xml:space="preserve">ACEEE </w:t>
      </w:r>
      <w:r w:rsidRPr="00A23A6D">
        <w:rPr>
          <w:rFonts w:ascii="Times New Roman" w:hAnsi="Times New Roman" w:cs="Times New Roman"/>
        </w:rPr>
        <w:t xml:space="preserve">Scorecard report are much lower than the average savings of 0.91% of retail sales achieved for the year 2021 by all 53 of the largest utilities included in the latest ACEEE Scorecard Report. </w:t>
      </w:r>
      <w:r w:rsidR="006715B7" w:rsidRPr="00A23A6D">
        <w:rPr>
          <w:rFonts w:ascii="Times New Roman" w:hAnsi="Times New Roman" w:cs="Times New Roman"/>
        </w:rPr>
        <w:t xml:space="preserve">Houston also notes that SB 1699 focuses on increasing energy efficiency and demand response savings goals for the residential sector. </w:t>
      </w:r>
      <w:r w:rsidR="00862721" w:rsidRPr="00A23A6D">
        <w:rPr>
          <w:rFonts w:ascii="Times New Roman" w:hAnsi="Times New Roman" w:cs="Times New Roman"/>
        </w:rPr>
        <w:t>The PUC s</w:t>
      </w:r>
      <w:r w:rsidR="006715B7" w:rsidRPr="00A23A6D">
        <w:rPr>
          <w:rFonts w:ascii="Times New Roman" w:hAnsi="Times New Roman" w:cs="Times New Roman"/>
          <w:color w:val="auto"/>
        </w:rPr>
        <w:t xml:space="preserve">hould </w:t>
      </w:r>
      <w:r w:rsidR="00862721" w:rsidRPr="00A23A6D">
        <w:rPr>
          <w:rFonts w:ascii="Times New Roman" w:hAnsi="Times New Roman" w:cs="Times New Roman"/>
          <w:color w:val="auto"/>
        </w:rPr>
        <w:t xml:space="preserve">consider increasing </w:t>
      </w:r>
      <w:r w:rsidR="006715B7" w:rsidRPr="00A23A6D">
        <w:rPr>
          <w:rFonts w:ascii="Times New Roman" w:hAnsi="Times New Roman" w:cs="Times New Roman"/>
          <w:color w:val="auto"/>
        </w:rPr>
        <w:t>load reduction goals for commercial and industrial loads in Texas</w:t>
      </w:r>
      <w:r w:rsidR="00862721" w:rsidRPr="00A23A6D">
        <w:rPr>
          <w:rFonts w:ascii="Times New Roman" w:hAnsi="Times New Roman" w:cs="Times New Roman"/>
          <w:color w:val="auto"/>
        </w:rPr>
        <w:t xml:space="preserve">. </w:t>
      </w:r>
      <w:r w:rsidR="008C6016" w:rsidRPr="00A23A6D">
        <w:rPr>
          <w:rFonts w:ascii="Times New Roman" w:hAnsi="Times New Roman" w:cs="Times New Roman"/>
          <w:color w:val="auto"/>
        </w:rPr>
        <w:t>T</w:t>
      </w:r>
      <w:r w:rsidR="006715B7" w:rsidRPr="00A23A6D">
        <w:rPr>
          <w:rFonts w:ascii="Times New Roman" w:hAnsi="Times New Roman" w:cs="Times New Roman"/>
          <w:color w:val="auto"/>
        </w:rPr>
        <w:t>he</w:t>
      </w:r>
      <w:r w:rsidR="008C6016" w:rsidRPr="00A23A6D">
        <w:rPr>
          <w:rFonts w:ascii="Times New Roman" w:hAnsi="Times New Roman" w:cs="Times New Roman"/>
          <w:color w:val="auto"/>
        </w:rPr>
        <w:t xml:space="preserve"> increases in</w:t>
      </w:r>
      <w:r w:rsidR="006715B7" w:rsidRPr="00A23A6D">
        <w:rPr>
          <w:rFonts w:ascii="Times New Roman" w:hAnsi="Times New Roman" w:cs="Times New Roman"/>
          <w:color w:val="auto"/>
        </w:rPr>
        <w:t xml:space="preserve"> load reduction goal</w:t>
      </w:r>
      <w:r w:rsidR="008C6016" w:rsidRPr="00A23A6D">
        <w:rPr>
          <w:rFonts w:ascii="Times New Roman" w:hAnsi="Times New Roman" w:cs="Times New Roman"/>
          <w:color w:val="auto"/>
        </w:rPr>
        <w:t>s</w:t>
      </w:r>
      <w:r w:rsidR="006715B7" w:rsidRPr="00A23A6D">
        <w:rPr>
          <w:rFonts w:ascii="Times New Roman" w:hAnsi="Times New Roman" w:cs="Times New Roman"/>
          <w:color w:val="auto"/>
        </w:rPr>
        <w:t xml:space="preserve"> </w:t>
      </w:r>
      <w:r w:rsidR="009679A4" w:rsidRPr="00A23A6D">
        <w:rPr>
          <w:rFonts w:ascii="Times New Roman" w:hAnsi="Times New Roman" w:cs="Times New Roman"/>
          <w:color w:val="auto"/>
        </w:rPr>
        <w:t xml:space="preserve">should </w:t>
      </w:r>
      <w:r w:rsidR="008C6016" w:rsidRPr="00A23A6D">
        <w:rPr>
          <w:rFonts w:ascii="Times New Roman" w:hAnsi="Times New Roman" w:cs="Times New Roman"/>
          <w:color w:val="auto"/>
        </w:rPr>
        <w:t>not</w:t>
      </w:r>
      <w:r w:rsidR="009679A4" w:rsidRPr="00A23A6D">
        <w:rPr>
          <w:rFonts w:ascii="Times New Roman" w:hAnsi="Times New Roman" w:cs="Times New Roman"/>
          <w:color w:val="auto"/>
        </w:rPr>
        <w:t xml:space="preserve"> </w:t>
      </w:r>
      <w:r w:rsidR="006715B7" w:rsidRPr="00A23A6D">
        <w:rPr>
          <w:rFonts w:ascii="Times New Roman" w:hAnsi="Times New Roman" w:cs="Times New Roman"/>
          <w:color w:val="auto"/>
        </w:rPr>
        <w:t>be limited to the residential sector</w:t>
      </w:r>
      <w:r w:rsidR="009679A4" w:rsidRPr="00A23A6D">
        <w:rPr>
          <w:rFonts w:ascii="Times New Roman" w:hAnsi="Times New Roman" w:cs="Times New Roman"/>
          <w:color w:val="auto"/>
        </w:rPr>
        <w:t>.</w:t>
      </w:r>
    </w:p>
    <w:p w14:paraId="7067096A" w14:textId="1F9AB8E3" w:rsidR="009A7FAE" w:rsidRPr="00A23A6D" w:rsidRDefault="009A7FAE" w:rsidP="00410FDF">
      <w:pPr>
        <w:pStyle w:val="ListParagraph"/>
        <w:numPr>
          <w:ilvl w:val="0"/>
          <w:numId w:val="14"/>
        </w:numPr>
        <w:spacing w:line="480" w:lineRule="auto"/>
        <w:rPr>
          <w:szCs w:val="24"/>
        </w:rPr>
      </w:pPr>
      <w:r w:rsidRPr="00A23A6D">
        <w:rPr>
          <w:szCs w:val="24"/>
        </w:rPr>
        <w:t xml:space="preserve">Implement a rulemaking </w:t>
      </w:r>
      <w:r w:rsidR="00F64F8E" w:rsidRPr="00A23A6D">
        <w:rPr>
          <w:szCs w:val="24"/>
        </w:rPr>
        <w:t xml:space="preserve">to allow </w:t>
      </w:r>
      <w:r w:rsidRPr="00A23A6D">
        <w:rPr>
          <w:szCs w:val="24"/>
        </w:rPr>
        <w:t xml:space="preserve">energy efficiency resources to compete head-to-head on a level playing field with supply-side </w:t>
      </w:r>
      <w:r w:rsidR="00565C64" w:rsidRPr="00A23A6D">
        <w:rPr>
          <w:szCs w:val="24"/>
        </w:rPr>
        <w:t>resources.</w:t>
      </w:r>
      <w:r w:rsidRPr="00A23A6D">
        <w:rPr>
          <w:szCs w:val="24"/>
        </w:rPr>
        <w:t xml:space="preserve"> </w:t>
      </w:r>
    </w:p>
    <w:p w14:paraId="3BE10997" w14:textId="604496DD" w:rsidR="009A7FAE" w:rsidRPr="00A23A6D" w:rsidRDefault="009A7FAE" w:rsidP="00410FDF">
      <w:pPr>
        <w:pStyle w:val="ListParagraph"/>
        <w:numPr>
          <w:ilvl w:val="0"/>
          <w:numId w:val="14"/>
        </w:numPr>
        <w:spacing w:line="480" w:lineRule="auto"/>
        <w:rPr>
          <w:szCs w:val="24"/>
        </w:rPr>
      </w:pPr>
      <w:r w:rsidRPr="00A23A6D">
        <w:rPr>
          <w:szCs w:val="24"/>
        </w:rPr>
        <w:t>Implement a rule-making to clarify that the avoided costs used in the PUC’s cost effectiveness test for energy efficiency measures and programs must account for transmission and distribution avoided costs, adjustments for line losses between the customer’s meter and the generation level of the grid, and take into account a reserve margin adjustment to recognize that a reduction of load at the customer meter of 1 kW will reduce generation requirements by more than 1 kW because generation reserve requirements will also be decreased.</w:t>
      </w:r>
    </w:p>
    <w:p w14:paraId="4339B6DA" w14:textId="10FBE891" w:rsidR="009A7FAE" w:rsidRPr="00A23A6D" w:rsidRDefault="009A7FAE" w:rsidP="00410FDF">
      <w:pPr>
        <w:pStyle w:val="ListParagraph"/>
        <w:numPr>
          <w:ilvl w:val="0"/>
          <w:numId w:val="14"/>
        </w:numPr>
        <w:spacing w:line="480" w:lineRule="auto"/>
        <w:rPr>
          <w:szCs w:val="24"/>
        </w:rPr>
      </w:pPr>
      <w:r w:rsidRPr="00A23A6D">
        <w:rPr>
          <w:szCs w:val="24"/>
        </w:rPr>
        <w:lastRenderedPageBreak/>
        <w:t xml:space="preserve">Implement a PUC rule-making process to require regulated electric utilities to conduct an energy efficiency potential study every three or four years so that utilities have sufficient information when developing </w:t>
      </w:r>
      <w:r w:rsidR="008108B4" w:rsidRPr="00A23A6D">
        <w:rPr>
          <w:szCs w:val="24"/>
        </w:rPr>
        <w:t>their energy efficiency plans</w:t>
      </w:r>
      <w:r w:rsidR="00080F81" w:rsidRPr="00A23A6D">
        <w:rPr>
          <w:szCs w:val="24"/>
        </w:rPr>
        <w:t xml:space="preserve"> and developing plans to meet </w:t>
      </w:r>
      <w:r w:rsidR="00C76AC3" w:rsidRPr="00A23A6D">
        <w:rPr>
          <w:szCs w:val="24"/>
        </w:rPr>
        <w:t>future electricity demand</w:t>
      </w:r>
      <w:r w:rsidRPr="00A23A6D">
        <w:rPr>
          <w:szCs w:val="24"/>
        </w:rPr>
        <w:t>.</w:t>
      </w:r>
    </w:p>
    <w:p w14:paraId="15335730" w14:textId="0193B4BF" w:rsidR="00B76C9A" w:rsidRPr="00A23A6D" w:rsidRDefault="007B21EB" w:rsidP="003C166B">
      <w:pPr>
        <w:pStyle w:val="NormalWeb"/>
        <w:shd w:val="clear" w:color="auto" w:fill="FEFEFE"/>
        <w:spacing w:line="480" w:lineRule="auto"/>
        <w:ind w:firstLine="720"/>
        <w:jc w:val="both"/>
      </w:pPr>
      <w:r w:rsidRPr="00A23A6D">
        <w:rPr>
          <w:color w:val="0A0A0A"/>
        </w:rPr>
        <w:t>Houston supports initiatives</w:t>
      </w:r>
      <w:r w:rsidR="00FD3E5E" w:rsidRPr="00A23A6D">
        <w:rPr>
          <w:color w:val="0A0A0A"/>
        </w:rPr>
        <w:t xml:space="preserve"> to improve resilienc</w:t>
      </w:r>
      <w:r w:rsidR="00AE0A9D" w:rsidRPr="00A23A6D">
        <w:rPr>
          <w:color w:val="0A0A0A"/>
        </w:rPr>
        <w:t>e</w:t>
      </w:r>
      <w:r w:rsidR="008108B4" w:rsidRPr="00A23A6D">
        <w:rPr>
          <w:color w:val="0A0A0A"/>
        </w:rPr>
        <w:t xml:space="preserve">, </w:t>
      </w:r>
      <w:r w:rsidR="00B715DE" w:rsidRPr="00A23A6D">
        <w:rPr>
          <w:color w:val="0A0A0A"/>
        </w:rPr>
        <w:t>increase reliability, and</w:t>
      </w:r>
      <w:r w:rsidR="008108B4" w:rsidRPr="00A23A6D">
        <w:rPr>
          <w:color w:val="0A0A0A"/>
        </w:rPr>
        <w:t xml:space="preserve"> </w:t>
      </w:r>
      <w:r w:rsidR="00B715DE" w:rsidRPr="00A23A6D">
        <w:rPr>
          <w:color w:val="0A0A0A"/>
        </w:rPr>
        <w:t xml:space="preserve">reduce greenhouse gas emissions. </w:t>
      </w:r>
      <w:r w:rsidR="005069AB" w:rsidRPr="00A23A6D">
        <w:rPr>
          <w:color w:val="0A0A0A"/>
        </w:rPr>
        <w:t xml:space="preserve">Increasing efforts to promote and </w:t>
      </w:r>
      <w:r w:rsidR="00EC51DB" w:rsidRPr="00A23A6D">
        <w:rPr>
          <w:color w:val="0A0A0A"/>
        </w:rPr>
        <w:t xml:space="preserve">expand </w:t>
      </w:r>
      <w:r w:rsidR="005069AB" w:rsidRPr="00A23A6D">
        <w:rPr>
          <w:color w:val="0A0A0A"/>
        </w:rPr>
        <w:t>greater energy efficiency</w:t>
      </w:r>
      <w:r w:rsidR="00EC51DB" w:rsidRPr="00A23A6D">
        <w:rPr>
          <w:color w:val="0A0A0A"/>
        </w:rPr>
        <w:t xml:space="preserve"> savings</w:t>
      </w:r>
      <w:r w:rsidR="005069AB" w:rsidRPr="00A23A6D">
        <w:rPr>
          <w:color w:val="0A0A0A"/>
        </w:rPr>
        <w:t xml:space="preserve">, </w:t>
      </w:r>
      <w:r w:rsidR="00327865" w:rsidRPr="00A23A6D">
        <w:rPr>
          <w:color w:val="0A0A0A"/>
        </w:rPr>
        <w:t xml:space="preserve">including </w:t>
      </w:r>
      <w:r w:rsidR="007D12EC" w:rsidRPr="00A23A6D">
        <w:rPr>
          <w:color w:val="0A0A0A"/>
        </w:rPr>
        <w:t xml:space="preserve">incentivizing and </w:t>
      </w:r>
      <w:r w:rsidR="009B3CF5" w:rsidRPr="00A23A6D">
        <w:rPr>
          <w:color w:val="0A0A0A"/>
        </w:rPr>
        <w:t xml:space="preserve">making demand response programs more accessible </w:t>
      </w:r>
      <w:r w:rsidR="00565C64" w:rsidRPr="00A23A6D">
        <w:rPr>
          <w:color w:val="0A0A0A"/>
        </w:rPr>
        <w:t>to residential</w:t>
      </w:r>
      <w:r w:rsidR="009B3CF5" w:rsidRPr="00A23A6D">
        <w:rPr>
          <w:color w:val="0A0A0A"/>
        </w:rPr>
        <w:t xml:space="preserve"> customer</w:t>
      </w:r>
      <w:r w:rsidR="008108B4" w:rsidRPr="00A23A6D">
        <w:rPr>
          <w:color w:val="0A0A0A"/>
        </w:rPr>
        <w:t>s</w:t>
      </w:r>
      <w:r w:rsidR="009B3CF5" w:rsidRPr="00A23A6D">
        <w:rPr>
          <w:color w:val="0A0A0A"/>
        </w:rPr>
        <w:t xml:space="preserve">, </w:t>
      </w:r>
      <w:r w:rsidR="00F8604A" w:rsidRPr="00A23A6D">
        <w:rPr>
          <w:color w:val="0A0A0A"/>
        </w:rPr>
        <w:t xml:space="preserve">is </w:t>
      </w:r>
      <w:r w:rsidR="000D1011" w:rsidRPr="00A23A6D">
        <w:rPr>
          <w:color w:val="0A0A0A"/>
        </w:rPr>
        <w:t>a necessary</w:t>
      </w:r>
      <w:r w:rsidR="00F8604A" w:rsidRPr="00A23A6D">
        <w:rPr>
          <w:color w:val="0A0A0A"/>
        </w:rPr>
        <w:t xml:space="preserve"> step towards ‘keeping the lights on.’</w:t>
      </w:r>
      <w:r w:rsidR="003C166B" w:rsidRPr="00A23A6D">
        <w:rPr>
          <w:color w:val="0A0A0A"/>
        </w:rPr>
        <w:t xml:space="preserve"> </w:t>
      </w:r>
      <w:r w:rsidR="00B76C9A" w:rsidRPr="00A23A6D">
        <w:t xml:space="preserve">The City of Houston appreciates the opportunity to provide these comments </w:t>
      </w:r>
      <w:r w:rsidR="003C166B" w:rsidRPr="00A23A6D">
        <w:t xml:space="preserve">regarding energy efficiency planning. </w:t>
      </w:r>
    </w:p>
    <w:p w14:paraId="0F45564A" w14:textId="77777777" w:rsidR="00610981" w:rsidRPr="00A23A6D" w:rsidRDefault="00610981" w:rsidP="00610981">
      <w:pPr>
        <w:spacing w:line="480" w:lineRule="auto"/>
        <w:rPr>
          <w:szCs w:val="24"/>
        </w:rPr>
      </w:pPr>
      <w:r w:rsidRPr="00A23A6D">
        <w:rPr>
          <w:szCs w:val="24"/>
        </w:rPr>
        <w:t>Respectfully Submitted,</w:t>
      </w:r>
    </w:p>
    <w:p w14:paraId="720C117F" w14:textId="77777777" w:rsidR="00610981" w:rsidRPr="00A23A6D" w:rsidRDefault="00610981" w:rsidP="00610981">
      <w:pPr>
        <w:ind w:left="720" w:hanging="720"/>
        <w:rPr>
          <w:szCs w:val="24"/>
        </w:rPr>
      </w:pPr>
      <w:r w:rsidRPr="00A23A6D">
        <w:rPr>
          <w:szCs w:val="24"/>
        </w:rPr>
        <w:t>CITY OF HOUSTON, TEXAS</w:t>
      </w:r>
    </w:p>
    <w:p w14:paraId="54083351" w14:textId="77777777" w:rsidR="00610981" w:rsidRPr="00A23A6D" w:rsidRDefault="00610981" w:rsidP="00610981">
      <w:pPr>
        <w:spacing w:after="120"/>
        <w:ind w:left="720" w:hanging="720"/>
        <w:rPr>
          <w:szCs w:val="24"/>
        </w:rPr>
      </w:pPr>
    </w:p>
    <w:p w14:paraId="59A57FC5" w14:textId="77777777" w:rsidR="00610981" w:rsidRPr="00A23A6D" w:rsidRDefault="00610981" w:rsidP="00610981">
      <w:pPr>
        <w:spacing w:after="120"/>
        <w:ind w:left="720" w:hanging="720"/>
        <w:rPr>
          <w:szCs w:val="24"/>
        </w:rPr>
      </w:pPr>
    </w:p>
    <w:p w14:paraId="3D237E23" w14:textId="77777777" w:rsidR="00610981" w:rsidRPr="00A23A6D" w:rsidRDefault="00610981" w:rsidP="00610981">
      <w:pPr>
        <w:spacing w:after="120"/>
        <w:ind w:left="720" w:hanging="720"/>
        <w:rPr>
          <w:szCs w:val="24"/>
        </w:rPr>
      </w:pPr>
      <w:r w:rsidRPr="00A23A6D">
        <w:rPr>
          <w:szCs w:val="24"/>
        </w:rPr>
        <w:t>______________________________</w:t>
      </w:r>
    </w:p>
    <w:p w14:paraId="15AAC8D4" w14:textId="77777777" w:rsidR="00610981" w:rsidRPr="00A23A6D" w:rsidRDefault="00610981" w:rsidP="00610981">
      <w:pPr>
        <w:ind w:left="720" w:hanging="720"/>
        <w:rPr>
          <w:szCs w:val="24"/>
        </w:rPr>
      </w:pPr>
      <w:r w:rsidRPr="00A23A6D">
        <w:rPr>
          <w:szCs w:val="24"/>
        </w:rPr>
        <w:t xml:space="preserve">Alisa Talley, Division Manager / </w:t>
      </w:r>
    </w:p>
    <w:p w14:paraId="53E724C3" w14:textId="77777777" w:rsidR="00610981" w:rsidRPr="00A23A6D" w:rsidRDefault="00610981" w:rsidP="00610981">
      <w:pPr>
        <w:ind w:left="720" w:hanging="720"/>
        <w:rPr>
          <w:szCs w:val="24"/>
        </w:rPr>
      </w:pPr>
      <w:r w:rsidRPr="00A23A6D">
        <w:rPr>
          <w:szCs w:val="24"/>
        </w:rPr>
        <w:t>Administration &amp; Regulatory Affairs</w:t>
      </w:r>
    </w:p>
    <w:p w14:paraId="657A2C12" w14:textId="77777777" w:rsidR="00610981" w:rsidRPr="00A23A6D" w:rsidRDefault="00610981" w:rsidP="00610981">
      <w:pPr>
        <w:ind w:left="720" w:hanging="720"/>
        <w:rPr>
          <w:szCs w:val="24"/>
        </w:rPr>
      </w:pPr>
      <w:r w:rsidRPr="00A23A6D">
        <w:rPr>
          <w:szCs w:val="24"/>
        </w:rPr>
        <w:t>611 Walker, 13</w:t>
      </w:r>
      <w:r w:rsidRPr="00A23A6D">
        <w:rPr>
          <w:szCs w:val="24"/>
          <w:vertAlign w:val="superscript"/>
        </w:rPr>
        <w:t>th</w:t>
      </w:r>
      <w:r w:rsidRPr="00A23A6D">
        <w:rPr>
          <w:szCs w:val="24"/>
        </w:rPr>
        <w:t xml:space="preserve"> </w:t>
      </w:r>
      <w:proofErr w:type="gramStart"/>
      <w:r w:rsidRPr="00A23A6D">
        <w:rPr>
          <w:szCs w:val="24"/>
        </w:rPr>
        <w:t>Floor</w:t>
      </w:r>
      <w:proofErr w:type="gramEnd"/>
    </w:p>
    <w:p w14:paraId="1AF9A993" w14:textId="77777777" w:rsidR="00610981" w:rsidRPr="00A23A6D" w:rsidRDefault="00610981" w:rsidP="00610981">
      <w:pPr>
        <w:ind w:left="720" w:hanging="720"/>
        <w:rPr>
          <w:szCs w:val="24"/>
        </w:rPr>
      </w:pPr>
      <w:r w:rsidRPr="00A23A6D">
        <w:rPr>
          <w:szCs w:val="24"/>
        </w:rPr>
        <w:t>Houston, TX 77002</w:t>
      </w:r>
    </w:p>
    <w:p w14:paraId="76EB299E" w14:textId="77777777" w:rsidR="00610981" w:rsidRPr="00A23A6D" w:rsidRDefault="00610981" w:rsidP="00610981">
      <w:pPr>
        <w:ind w:left="720" w:hanging="720"/>
        <w:rPr>
          <w:szCs w:val="24"/>
        </w:rPr>
      </w:pPr>
      <w:r w:rsidRPr="00A23A6D">
        <w:rPr>
          <w:szCs w:val="24"/>
        </w:rPr>
        <w:t>(832)393-8531</w:t>
      </w:r>
    </w:p>
    <w:p w14:paraId="36A87B99" w14:textId="77777777" w:rsidR="00610981" w:rsidRPr="00A23A6D" w:rsidRDefault="00610981" w:rsidP="00610981">
      <w:pPr>
        <w:ind w:left="720" w:hanging="720"/>
        <w:rPr>
          <w:szCs w:val="24"/>
        </w:rPr>
      </w:pPr>
      <w:r w:rsidRPr="00A23A6D">
        <w:rPr>
          <w:szCs w:val="24"/>
        </w:rPr>
        <w:t>(832) 393-8517 fax</w:t>
      </w:r>
    </w:p>
    <w:p w14:paraId="7FB581B0" w14:textId="77777777" w:rsidR="00854C67" w:rsidRPr="00A23A6D" w:rsidRDefault="00854C67">
      <w:pPr>
        <w:spacing w:after="160" w:line="259" w:lineRule="auto"/>
        <w:jc w:val="left"/>
        <w:rPr>
          <w:b/>
          <w:bCs/>
          <w:szCs w:val="24"/>
        </w:rPr>
      </w:pPr>
      <w:r w:rsidRPr="00A23A6D">
        <w:rPr>
          <w:b/>
          <w:bCs/>
          <w:szCs w:val="24"/>
        </w:rPr>
        <w:br w:type="page"/>
      </w:r>
    </w:p>
    <w:p w14:paraId="729D6BC5" w14:textId="77777777" w:rsidR="0065364A" w:rsidRPr="00A23A6D" w:rsidRDefault="0065364A" w:rsidP="0065364A">
      <w:pPr>
        <w:spacing w:line="360" w:lineRule="auto"/>
        <w:jc w:val="center"/>
        <w:rPr>
          <w:b/>
          <w:bCs/>
          <w:szCs w:val="24"/>
        </w:rPr>
      </w:pPr>
      <w:r w:rsidRPr="00A23A6D">
        <w:rPr>
          <w:b/>
          <w:bCs/>
          <w:szCs w:val="24"/>
        </w:rPr>
        <w:lastRenderedPageBreak/>
        <w:t>PROJECT NO. 56517</w:t>
      </w:r>
    </w:p>
    <w:p w14:paraId="1C3C6050" w14:textId="77777777" w:rsidR="0065364A" w:rsidRPr="00A23A6D" w:rsidRDefault="0065364A" w:rsidP="0065364A">
      <w:pPr>
        <w:spacing w:line="360" w:lineRule="auto"/>
        <w:jc w:val="center"/>
        <w:rPr>
          <w:b/>
          <w:bCs/>
          <w:szCs w:val="24"/>
        </w:rPr>
      </w:pPr>
      <w:r w:rsidRPr="00A23A6D">
        <w:rPr>
          <w:b/>
          <w:bCs/>
          <w:szCs w:val="24"/>
        </w:rPr>
        <w:t>EXECUTIVE SUMMARY OF CITY OF HOUSTON</w:t>
      </w:r>
    </w:p>
    <w:p w14:paraId="5347A2F8" w14:textId="77777777" w:rsidR="0065364A" w:rsidRPr="00A23A6D" w:rsidRDefault="0065364A" w:rsidP="0065364A">
      <w:pPr>
        <w:pStyle w:val="ListParagraph"/>
        <w:widowControl w:val="0"/>
        <w:numPr>
          <w:ilvl w:val="0"/>
          <w:numId w:val="15"/>
        </w:numPr>
        <w:tabs>
          <w:tab w:val="left" w:pos="360"/>
        </w:tabs>
        <w:autoSpaceDE w:val="0"/>
        <w:autoSpaceDN w:val="0"/>
        <w:adjustRightInd w:val="0"/>
        <w:ind w:left="360"/>
        <w:rPr>
          <w:szCs w:val="24"/>
        </w:rPr>
      </w:pPr>
      <w:r w:rsidRPr="00A23A6D">
        <w:rPr>
          <w:szCs w:val="24"/>
        </w:rPr>
        <w:t>Staff Question 1. Houston agrees that certain hours of the day should be considered more valuable within the design of standard offer or targeted market-transformation programs offered by utilities. The marginal cost of avoided energy can vary considerably by both season and time of day. The load shapes of different efficiency resources—i.e., the portion of energy savings that occur during different seasons and different times of day—can also vary substantially. The value of avoided energy costs should account for such differences to the extent possible and practical.</w:t>
      </w:r>
    </w:p>
    <w:p w14:paraId="7E43EFFD" w14:textId="77777777" w:rsidR="0065364A" w:rsidRPr="00A23A6D" w:rsidRDefault="0065364A" w:rsidP="0065364A">
      <w:pPr>
        <w:pStyle w:val="ListParagraph"/>
        <w:ind w:left="1440"/>
        <w:rPr>
          <w:szCs w:val="24"/>
        </w:rPr>
      </w:pPr>
    </w:p>
    <w:p w14:paraId="0F5AAC55" w14:textId="77777777" w:rsidR="0065364A" w:rsidRPr="00A23A6D" w:rsidRDefault="0065364A" w:rsidP="0065364A">
      <w:pPr>
        <w:pStyle w:val="Default"/>
        <w:numPr>
          <w:ilvl w:val="0"/>
          <w:numId w:val="15"/>
        </w:numPr>
        <w:ind w:left="360"/>
        <w:jc w:val="both"/>
        <w:rPr>
          <w:rFonts w:ascii="Times New Roman" w:hAnsi="Times New Roman" w:cs="Times New Roman"/>
          <w:color w:val="auto"/>
        </w:rPr>
      </w:pPr>
      <w:r w:rsidRPr="00A23A6D">
        <w:rPr>
          <w:rFonts w:ascii="Times New Roman" w:hAnsi="Times New Roman" w:cs="Times New Roman"/>
        </w:rPr>
        <w:t xml:space="preserve">Staff Question 2. </w:t>
      </w:r>
      <w:r w:rsidRPr="00A23A6D">
        <w:rPr>
          <w:rFonts w:ascii="Times New Roman" w:hAnsi="Times New Roman" w:cs="Times New Roman"/>
          <w:color w:val="auto"/>
        </w:rPr>
        <w:t>Houston recommends adding the following metrics to the utility annual Energy Efficiency Plan and Report (EEPR) utilities are required to file. These metrics will provide valuable data for tracking the success of low-income and hard-to reach programs:</w:t>
      </w:r>
    </w:p>
    <w:p w14:paraId="2491F041" w14:textId="77777777" w:rsidR="0065364A" w:rsidRPr="00A23A6D" w:rsidRDefault="0065364A" w:rsidP="0065364A">
      <w:pPr>
        <w:pStyle w:val="Default"/>
        <w:numPr>
          <w:ilvl w:val="0"/>
          <w:numId w:val="16"/>
        </w:numPr>
        <w:ind w:left="720"/>
        <w:jc w:val="both"/>
        <w:rPr>
          <w:rFonts w:ascii="Times New Roman" w:hAnsi="Times New Roman" w:cs="Times New Roman"/>
          <w:color w:val="auto"/>
        </w:rPr>
      </w:pPr>
      <w:r w:rsidRPr="00A23A6D">
        <w:rPr>
          <w:rFonts w:ascii="Times New Roman" w:hAnsi="Times New Roman" w:cs="Times New Roman"/>
          <w:color w:val="auto"/>
        </w:rPr>
        <w:t>Program cost effectiveness test for each program each year according to the Chapter 25 cost effectiveness test.</w:t>
      </w:r>
      <w:r w:rsidRPr="00A23A6D">
        <w:rPr>
          <w:rStyle w:val="FootnoteReference"/>
          <w:rFonts w:ascii="Times New Roman" w:hAnsi="Times New Roman" w:cs="Times New Roman"/>
          <w:color w:val="auto"/>
        </w:rPr>
        <w:footnoteReference w:id="13"/>
      </w:r>
    </w:p>
    <w:p w14:paraId="0DBAAA02" w14:textId="77777777" w:rsidR="0065364A" w:rsidRPr="00A23A6D" w:rsidRDefault="0065364A" w:rsidP="0065364A">
      <w:pPr>
        <w:pStyle w:val="Default"/>
        <w:numPr>
          <w:ilvl w:val="0"/>
          <w:numId w:val="16"/>
        </w:numPr>
        <w:ind w:left="720"/>
        <w:jc w:val="both"/>
        <w:rPr>
          <w:rFonts w:ascii="Times New Roman" w:hAnsi="Times New Roman" w:cs="Times New Roman"/>
          <w:color w:val="auto"/>
        </w:rPr>
      </w:pPr>
      <w:r w:rsidRPr="00A23A6D">
        <w:rPr>
          <w:rFonts w:ascii="Times New Roman" w:hAnsi="Times New Roman" w:cs="Times New Roman"/>
          <w:color w:val="auto"/>
        </w:rPr>
        <w:t>Average annual energy and demand savings per participant compared to pre-program estimates (this is average data for all participants as a group, not individual customer data).</w:t>
      </w:r>
    </w:p>
    <w:p w14:paraId="4D18D1A3" w14:textId="77777777" w:rsidR="0065364A" w:rsidRPr="00A23A6D" w:rsidRDefault="0065364A" w:rsidP="0065364A">
      <w:pPr>
        <w:pStyle w:val="Default"/>
        <w:numPr>
          <w:ilvl w:val="0"/>
          <w:numId w:val="16"/>
        </w:numPr>
        <w:ind w:left="720"/>
        <w:jc w:val="both"/>
        <w:rPr>
          <w:rFonts w:ascii="Times New Roman" w:hAnsi="Times New Roman" w:cs="Times New Roman"/>
          <w:color w:val="auto"/>
        </w:rPr>
      </w:pPr>
      <w:r w:rsidRPr="00A23A6D">
        <w:rPr>
          <w:rFonts w:ascii="Times New Roman" w:hAnsi="Times New Roman" w:cs="Times New Roman"/>
          <w:color w:val="auto"/>
        </w:rPr>
        <w:t>Number of program participants served each year compared to participation goal each year.</w:t>
      </w:r>
    </w:p>
    <w:p w14:paraId="4C2F3BEC" w14:textId="77777777" w:rsidR="0065364A" w:rsidRPr="00A23A6D" w:rsidRDefault="0065364A" w:rsidP="0065364A">
      <w:pPr>
        <w:pStyle w:val="Default"/>
        <w:numPr>
          <w:ilvl w:val="0"/>
          <w:numId w:val="16"/>
        </w:numPr>
        <w:ind w:left="720"/>
        <w:jc w:val="both"/>
        <w:rPr>
          <w:rFonts w:ascii="Times New Roman" w:hAnsi="Times New Roman" w:cs="Times New Roman"/>
          <w:color w:val="auto"/>
        </w:rPr>
      </w:pPr>
      <w:r w:rsidRPr="00A23A6D">
        <w:rPr>
          <w:rFonts w:ascii="Times New Roman" w:hAnsi="Times New Roman" w:cs="Times New Roman"/>
          <w:color w:val="auto"/>
        </w:rPr>
        <w:t>Utility cost per participant each year compared to pre-program estimates.</w:t>
      </w:r>
    </w:p>
    <w:p w14:paraId="4B1AA12E" w14:textId="77777777" w:rsidR="0065364A" w:rsidRPr="00A23A6D" w:rsidRDefault="0065364A" w:rsidP="0065364A">
      <w:pPr>
        <w:pStyle w:val="Default"/>
        <w:numPr>
          <w:ilvl w:val="0"/>
          <w:numId w:val="16"/>
        </w:numPr>
        <w:ind w:left="720"/>
        <w:jc w:val="both"/>
        <w:rPr>
          <w:rFonts w:ascii="Times New Roman" w:hAnsi="Times New Roman" w:cs="Times New Roman"/>
          <w:color w:val="auto"/>
        </w:rPr>
      </w:pPr>
      <w:r w:rsidRPr="00A23A6D">
        <w:rPr>
          <w:rFonts w:ascii="Times New Roman" w:hAnsi="Times New Roman" w:cs="Times New Roman"/>
          <w:color w:val="auto"/>
        </w:rPr>
        <w:t>Percent of the eligible market served each year.</w:t>
      </w:r>
    </w:p>
    <w:p w14:paraId="57A63062" w14:textId="77777777" w:rsidR="0065364A" w:rsidRPr="00A23A6D" w:rsidRDefault="0065364A" w:rsidP="0065364A">
      <w:pPr>
        <w:pStyle w:val="Default"/>
        <w:numPr>
          <w:ilvl w:val="0"/>
          <w:numId w:val="16"/>
        </w:numPr>
        <w:ind w:left="720"/>
        <w:jc w:val="both"/>
        <w:rPr>
          <w:rFonts w:ascii="Times New Roman" w:hAnsi="Times New Roman" w:cs="Times New Roman"/>
          <w:color w:val="auto"/>
        </w:rPr>
      </w:pPr>
      <w:r w:rsidRPr="00A23A6D">
        <w:rPr>
          <w:rFonts w:ascii="Times New Roman" w:hAnsi="Times New Roman" w:cs="Times New Roman"/>
          <w:color w:val="auto"/>
        </w:rPr>
        <w:t>Progress in addressing market barriers that have been identified for the program.</w:t>
      </w:r>
    </w:p>
    <w:p w14:paraId="1D9B152B" w14:textId="77777777" w:rsidR="0065364A" w:rsidRPr="00A23A6D" w:rsidRDefault="0065364A" w:rsidP="0065364A">
      <w:pPr>
        <w:pStyle w:val="ListParagraph"/>
        <w:rPr>
          <w:szCs w:val="24"/>
        </w:rPr>
      </w:pPr>
    </w:p>
    <w:p w14:paraId="6187C5DF" w14:textId="77777777" w:rsidR="0065364A" w:rsidRPr="00A23A6D" w:rsidRDefault="0065364A" w:rsidP="0065364A">
      <w:pPr>
        <w:pStyle w:val="Default"/>
        <w:numPr>
          <w:ilvl w:val="0"/>
          <w:numId w:val="17"/>
        </w:numPr>
        <w:ind w:left="360"/>
        <w:jc w:val="both"/>
        <w:rPr>
          <w:rFonts w:ascii="Times New Roman" w:hAnsi="Times New Roman" w:cs="Times New Roman"/>
          <w:color w:val="auto"/>
        </w:rPr>
      </w:pPr>
      <w:r w:rsidRPr="00A23A6D">
        <w:rPr>
          <w:rFonts w:ascii="Times New Roman" w:hAnsi="Times New Roman" w:cs="Times New Roman"/>
        </w:rPr>
        <w:t xml:space="preserve">Staff Question 3a. </w:t>
      </w:r>
      <w:r w:rsidRPr="00A23A6D">
        <w:rPr>
          <w:rFonts w:ascii="Times New Roman" w:hAnsi="Times New Roman" w:cs="Times New Roman"/>
          <w:color w:val="auto"/>
        </w:rPr>
        <w:t>Yes, Houston believes 16 TAC §25.181(d)(2) should be revised to update the methodology for calculating the avoided cost of capacity. At a minimum, the rule should specify that the avoided cost of capacity needs to also account for the impacts of generation reserve requirements, line losses and avoided costs of transmission and distribution capacity.</w:t>
      </w:r>
    </w:p>
    <w:p w14:paraId="30BEDF25" w14:textId="77777777" w:rsidR="0065364A" w:rsidRPr="00A23A6D" w:rsidRDefault="0065364A" w:rsidP="0065364A">
      <w:pPr>
        <w:pStyle w:val="ListParagraph"/>
        <w:rPr>
          <w:szCs w:val="24"/>
        </w:rPr>
      </w:pPr>
    </w:p>
    <w:p w14:paraId="25834DD5" w14:textId="77777777" w:rsidR="0065364A" w:rsidRPr="00A23A6D" w:rsidRDefault="0065364A" w:rsidP="0065364A">
      <w:pPr>
        <w:pStyle w:val="ListParagraph"/>
        <w:widowControl w:val="0"/>
        <w:numPr>
          <w:ilvl w:val="0"/>
          <w:numId w:val="15"/>
        </w:numPr>
        <w:tabs>
          <w:tab w:val="left" w:pos="360"/>
          <w:tab w:val="left" w:pos="450"/>
        </w:tabs>
        <w:autoSpaceDE w:val="0"/>
        <w:autoSpaceDN w:val="0"/>
        <w:adjustRightInd w:val="0"/>
        <w:ind w:left="360"/>
        <w:rPr>
          <w:szCs w:val="24"/>
        </w:rPr>
      </w:pPr>
      <w:r w:rsidRPr="00A23A6D">
        <w:rPr>
          <w:szCs w:val="24"/>
        </w:rPr>
        <w:t xml:space="preserve">Staff Question 3b. Yes, Houston recommends revising 16 TAC §25.181(d)(3). At a minimum, the rule should specify that the avoided cost of energy also </w:t>
      </w:r>
      <w:proofErr w:type="gramStart"/>
      <w:r w:rsidRPr="00A23A6D">
        <w:rPr>
          <w:szCs w:val="24"/>
        </w:rPr>
        <w:t>account</w:t>
      </w:r>
      <w:proofErr w:type="gramEnd"/>
      <w:r w:rsidRPr="00A23A6D">
        <w:rPr>
          <w:szCs w:val="24"/>
        </w:rPr>
        <w:t xml:space="preserve"> for line losses. A kWh or kW saved at the distribution level saves more at the generation level due to line losses.</w:t>
      </w:r>
    </w:p>
    <w:p w14:paraId="394DB17B" w14:textId="77777777" w:rsidR="0065364A" w:rsidRPr="00A23A6D" w:rsidRDefault="0065364A" w:rsidP="0065364A">
      <w:pPr>
        <w:pStyle w:val="ListParagraph"/>
        <w:tabs>
          <w:tab w:val="left" w:pos="360"/>
          <w:tab w:val="left" w:pos="450"/>
        </w:tabs>
        <w:ind w:left="360"/>
        <w:rPr>
          <w:szCs w:val="24"/>
        </w:rPr>
      </w:pPr>
    </w:p>
    <w:p w14:paraId="749E9200" w14:textId="77777777" w:rsidR="0065364A" w:rsidRPr="00A23A6D" w:rsidRDefault="0065364A" w:rsidP="0065364A">
      <w:pPr>
        <w:pStyle w:val="ListParagraph"/>
        <w:widowControl w:val="0"/>
        <w:numPr>
          <w:ilvl w:val="0"/>
          <w:numId w:val="15"/>
        </w:numPr>
        <w:tabs>
          <w:tab w:val="left" w:pos="360"/>
          <w:tab w:val="left" w:pos="450"/>
        </w:tabs>
        <w:autoSpaceDE w:val="0"/>
        <w:autoSpaceDN w:val="0"/>
        <w:adjustRightInd w:val="0"/>
        <w:ind w:left="360"/>
        <w:rPr>
          <w:szCs w:val="24"/>
        </w:rPr>
      </w:pPr>
      <w:r w:rsidRPr="00A23A6D">
        <w:rPr>
          <w:szCs w:val="24"/>
        </w:rPr>
        <w:t xml:space="preserve">Staff Question 4. Houston recommends clarification of the calculation of the performance bonus amount in a future energy efficiency rulemaking. </w:t>
      </w:r>
    </w:p>
    <w:p w14:paraId="0253ED6F" w14:textId="77777777" w:rsidR="0065364A" w:rsidRPr="00A23A6D" w:rsidRDefault="0065364A" w:rsidP="0065364A">
      <w:pPr>
        <w:pStyle w:val="Default"/>
        <w:numPr>
          <w:ilvl w:val="1"/>
          <w:numId w:val="18"/>
        </w:numPr>
        <w:ind w:left="720"/>
        <w:jc w:val="both"/>
        <w:rPr>
          <w:rFonts w:ascii="Times New Roman" w:hAnsi="Times New Roman" w:cs="Times New Roman"/>
          <w:color w:val="auto"/>
        </w:rPr>
      </w:pPr>
      <w:r w:rsidRPr="00A23A6D">
        <w:rPr>
          <w:rFonts w:ascii="Times New Roman" w:hAnsi="Times New Roman" w:cs="Times New Roman"/>
          <w:color w:val="auto"/>
        </w:rPr>
        <w:t>The rule should specify that avoided costs for each energy efficiency or demand response measure used in the calculation of the performance bonus should be the same avoided costs that were in place or utilized when the Commission approved each energy efficiency or demand response program. The current version of the rule does not make this clear.</w:t>
      </w:r>
    </w:p>
    <w:p w14:paraId="68C8704C" w14:textId="77777777" w:rsidR="0065364A" w:rsidRPr="00A23A6D" w:rsidRDefault="0065364A" w:rsidP="0065364A">
      <w:pPr>
        <w:pStyle w:val="Default"/>
        <w:numPr>
          <w:ilvl w:val="1"/>
          <w:numId w:val="18"/>
        </w:numPr>
        <w:ind w:left="720"/>
        <w:jc w:val="both"/>
        <w:rPr>
          <w:rFonts w:ascii="Times New Roman" w:hAnsi="Times New Roman" w:cs="Times New Roman"/>
          <w:color w:val="auto"/>
        </w:rPr>
      </w:pPr>
      <w:r w:rsidRPr="00A23A6D">
        <w:rPr>
          <w:rFonts w:ascii="Times New Roman" w:hAnsi="Times New Roman" w:cs="Times New Roman"/>
          <w:color w:val="auto"/>
        </w:rPr>
        <w:t xml:space="preserve">The rule for the calculation of the performance bonus needs to clarify that the avoided costs used in the calculation of program benefits </w:t>
      </w:r>
      <w:proofErr w:type="gramStart"/>
      <w:r w:rsidRPr="00A23A6D">
        <w:rPr>
          <w:rFonts w:ascii="Times New Roman" w:hAnsi="Times New Roman" w:cs="Times New Roman"/>
          <w:color w:val="auto"/>
        </w:rPr>
        <w:t>needs</w:t>
      </w:r>
      <w:proofErr w:type="gramEnd"/>
      <w:r w:rsidRPr="00A23A6D">
        <w:rPr>
          <w:rFonts w:ascii="Times New Roman" w:hAnsi="Times New Roman" w:cs="Times New Roman"/>
          <w:color w:val="auto"/>
        </w:rPr>
        <w:t xml:space="preserve"> to be calculated over the life of the specific measures installed in each program.  </w:t>
      </w:r>
    </w:p>
    <w:p w14:paraId="6C88FD8F" w14:textId="77777777" w:rsidR="0065364A" w:rsidRPr="00A23A6D" w:rsidRDefault="0065364A" w:rsidP="0065364A">
      <w:pPr>
        <w:pStyle w:val="ListParagraph"/>
        <w:rPr>
          <w:szCs w:val="24"/>
        </w:rPr>
      </w:pPr>
    </w:p>
    <w:p w14:paraId="5E7441A5" w14:textId="77777777" w:rsidR="0065364A" w:rsidRPr="00A23A6D" w:rsidRDefault="0065364A" w:rsidP="0065364A">
      <w:pPr>
        <w:pStyle w:val="Default"/>
        <w:numPr>
          <w:ilvl w:val="0"/>
          <w:numId w:val="19"/>
        </w:numPr>
        <w:ind w:left="360"/>
        <w:jc w:val="both"/>
        <w:rPr>
          <w:rFonts w:ascii="Times New Roman" w:hAnsi="Times New Roman" w:cs="Times New Roman"/>
          <w:color w:val="auto"/>
        </w:rPr>
      </w:pPr>
      <w:r w:rsidRPr="00A23A6D">
        <w:rPr>
          <w:rFonts w:ascii="Times New Roman" w:hAnsi="Times New Roman" w:cs="Times New Roman"/>
        </w:rPr>
        <w:lastRenderedPageBreak/>
        <w:t xml:space="preserve">Staff Question 5. Houston </w:t>
      </w:r>
      <w:r w:rsidRPr="00A23A6D">
        <w:rPr>
          <w:rFonts w:ascii="Times New Roman" w:hAnsi="Times New Roman" w:cs="Times New Roman"/>
          <w:color w:val="auto"/>
        </w:rPr>
        <w:t xml:space="preserve">recommends revising the existing targets for energy savings and demand reduction goals listed in 16 TAC §25.181 significantly upward in a future rulemaking. Specifically, Houston recommends increasing the existing targets for energy efficiency and demand reduction to 0.91% - 1.50% of annual retail energy sales which would align Texas with other states, and further support grid reliability through substantive energy savings. </w:t>
      </w:r>
    </w:p>
    <w:p w14:paraId="2D0749F5" w14:textId="77777777" w:rsidR="0065364A" w:rsidRPr="00A23A6D" w:rsidRDefault="0065364A" w:rsidP="0065364A">
      <w:pPr>
        <w:pStyle w:val="ListParagraph"/>
        <w:widowControl w:val="0"/>
        <w:numPr>
          <w:ilvl w:val="1"/>
          <w:numId w:val="15"/>
        </w:numPr>
        <w:tabs>
          <w:tab w:val="left" w:pos="720"/>
        </w:tabs>
        <w:autoSpaceDE w:val="0"/>
        <w:autoSpaceDN w:val="0"/>
        <w:adjustRightInd w:val="0"/>
        <w:ind w:left="720"/>
        <w:rPr>
          <w:szCs w:val="24"/>
        </w:rPr>
      </w:pPr>
      <w:r w:rsidRPr="00A23A6D">
        <w:rPr>
          <w:szCs w:val="24"/>
        </w:rPr>
        <w:t>Targets for energy savings and demand reduction goals lag far behind significant program savings that are being achieved in other states.</w:t>
      </w:r>
    </w:p>
    <w:p w14:paraId="0BAD0EE1" w14:textId="77777777" w:rsidR="0065364A" w:rsidRPr="00A23A6D" w:rsidRDefault="0065364A" w:rsidP="0065364A">
      <w:pPr>
        <w:pStyle w:val="ListParagraph"/>
        <w:widowControl w:val="0"/>
        <w:numPr>
          <w:ilvl w:val="1"/>
          <w:numId w:val="15"/>
        </w:numPr>
        <w:tabs>
          <w:tab w:val="left" w:pos="720"/>
        </w:tabs>
        <w:autoSpaceDE w:val="0"/>
        <w:autoSpaceDN w:val="0"/>
        <w:adjustRightInd w:val="0"/>
        <w:ind w:left="720"/>
        <w:rPr>
          <w:szCs w:val="24"/>
        </w:rPr>
      </w:pPr>
      <w:r w:rsidRPr="00A23A6D">
        <w:rPr>
          <w:szCs w:val="24"/>
        </w:rPr>
        <w:t>The 15,000 MW amount of available potential by 2030 for summer peak load reduction in ERCOT reported in an August 2023 report by the American Council for an Energy Efficient Economy (ACEEE) is almost two and one-half times more than the 6,279 MW of load reduction</w:t>
      </w:r>
      <w:r w:rsidRPr="00A23A6D">
        <w:rPr>
          <w:rStyle w:val="FootnoteReference"/>
          <w:szCs w:val="24"/>
        </w:rPr>
        <w:footnoteReference w:id="14"/>
      </w:r>
      <w:r w:rsidRPr="00A23A6D">
        <w:rPr>
          <w:szCs w:val="24"/>
        </w:rPr>
        <w:t xml:space="preserve"> ERCOT included in its latest Capacity, Demand and Reserves Report. </w:t>
      </w:r>
    </w:p>
    <w:p w14:paraId="09207D2C" w14:textId="77777777" w:rsidR="0065364A" w:rsidRPr="00A23A6D" w:rsidRDefault="0065364A" w:rsidP="0065364A">
      <w:pPr>
        <w:pStyle w:val="ListParagraph"/>
        <w:rPr>
          <w:szCs w:val="24"/>
        </w:rPr>
      </w:pPr>
    </w:p>
    <w:p w14:paraId="3E6EB3A3" w14:textId="77777777" w:rsidR="0065364A" w:rsidRPr="00A23A6D" w:rsidRDefault="0065364A" w:rsidP="0065364A">
      <w:pPr>
        <w:pStyle w:val="Default"/>
        <w:numPr>
          <w:ilvl w:val="0"/>
          <w:numId w:val="19"/>
        </w:numPr>
        <w:ind w:left="360"/>
        <w:jc w:val="both"/>
        <w:rPr>
          <w:rFonts w:ascii="Times New Roman" w:hAnsi="Times New Roman" w:cs="Times New Roman"/>
          <w:color w:val="auto"/>
        </w:rPr>
      </w:pPr>
      <w:r w:rsidRPr="00A23A6D">
        <w:rPr>
          <w:rFonts w:ascii="Times New Roman" w:hAnsi="Times New Roman" w:cs="Times New Roman"/>
        </w:rPr>
        <w:t xml:space="preserve">Staff Question 6. </w:t>
      </w:r>
      <w:r w:rsidRPr="00A23A6D">
        <w:rPr>
          <w:rFonts w:ascii="Times New Roman" w:hAnsi="Times New Roman" w:cs="Times New Roman"/>
          <w:color w:val="auto"/>
        </w:rPr>
        <w:t xml:space="preserve">Houston recommends that the following issues be considered in the upcoming rulemaking to implement SB 1699. </w:t>
      </w:r>
    </w:p>
    <w:p w14:paraId="37EE45F6" w14:textId="77777777" w:rsidR="0065364A" w:rsidRPr="00A23A6D" w:rsidRDefault="0065364A" w:rsidP="0065364A">
      <w:pPr>
        <w:pStyle w:val="Default"/>
        <w:numPr>
          <w:ilvl w:val="1"/>
          <w:numId w:val="19"/>
        </w:numPr>
        <w:ind w:left="720"/>
        <w:jc w:val="both"/>
        <w:rPr>
          <w:rFonts w:ascii="Times New Roman" w:hAnsi="Times New Roman" w:cs="Times New Roman"/>
          <w:color w:val="auto"/>
        </w:rPr>
      </w:pPr>
      <w:r w:rsidRPr="00A23A6D">
        <w:rPr>
          <w:rFonts w:ascii="Times New Roman" w:hAnsi="Times New Roman" w:cs="Times New Roman"/>
          <w:color w:val="auto"/>
        </w:rPr>
        <w:t>Clarify whether SB 1699 prohibits homeowners from generating electricity with rooftop solar photovoltaic panels or wind turbines unless they have registered with the Commission as a power generation company.</w:t>
      </w:r>
    </w:p>
    <w:p w14:paraId="4AFECEBA" w14:textId="77777777" w:rsidR="0065364A" w:rsidRPr="00A23A6D" w:rsidRDefault="0065364A" w:rsidP="0065364A">
      <w:pPr>
        <w:pStyle w:val="Default"/>
        <w:numPr>
          <w:ilvl w:val="1"/>
          <w:numId w:val="19"/>
        </w:numPr>
        <w:ind w:left="720"/>
        <w:jc w:val="both"/>
        <w:rPr>
          <w:rFonts w:ascii="Times New Roman" w:hAnsi="Times New Roman" w:cs="Times New Roman"/>
          <w:color w:val="auto"/>
        </w:rPr>
      </w:pPr>
      <w:r w:rsidRPr="00A23A6D">
        <w:rPr>
          <w:rFonts w:ascii="Times New Roman" w:hAnsi="Times New Roman" w:cs="Times New Roman"/>
          <w:color w:val="auto"/>
        </w:rPr>
        <w:t xml:space="preserve">Clarify whether §39.101(b)(3) requires or implies that REPs design and implement energy efficiency programs. </w:t>
      </w:r>
    </w:p>
    <w:p w14:paraId="2C4D7FAD" w14:textId="77777777" w:rsidR="0065364A" w:rsidRPr="00A23A6D" w:rsidRDefault="0065364A" w:rsidP="0065364A">
      <w:pPr>
        <w:pStyle w:val="Default"/>
        <w:numPr>
          <w:ilvl w:val="1"/>
          <w:numId w:val="19"/>
        </w:numPr>
        <w:ind w:left="720"/>
        <w:jc w:val="both"/>
        <w:rPr>
          <w:rFonts w:ascii="Times New Roman" w:hAnsi="Times New Roman" w:cs="Times New Roman"/>
          <w:color w:val="auto"/>
        </w:rPr>
      </w:pPr>
      <w:r w:rsidRPr="00A23A6D">
        <w:rPr>
          <w:rFonts w:ascii="Times New Roman" w:hAnsi="Times New Roman" w:cs="Times New Roman"/>
          <w:color w:val="auto"/>
        </w:rPr>
        <w:t>Clarify whether §39.101(b)(3) requires REPs to provide information to customers to enable them to find energy efficiency programs offered by utilities and government agencies in Texas and to enable them to sign up for such programs.</w:t>
      </w:r>
    </w:p>
    <w:p w14:paraId="3427DBFA" w14:textId="77777777" w:rsidR="0065364A" w:rsidRPr="00A23A6D" w:rsidRDefault="0065364A" w:rsidP="0065364A">
      <w:pPr>
        <w:pStyle w:val="Default"/>
        <w:numPr>
          <w:ilvl w:val="1"/>
          <w:numId w:val="19"/>
        </w:numPr>
        <w:ind w:left="720"/>
        <w:jc w:val="both"/>
        <w:rPr>
          <w:rFonts w:ascii="Times New Roman" w:hAnsi="Times New Roman" w:cs="Times New Roman"/>
          <w:color w:val="auto"/>
        </w:rPr>
      </w:pPr>
      <w:r w:rsidRPr="00A23A6D">
        <w:rPr>
          <w:rFonts w:ascii="Times New Roman" w:hAnsi="Times New Roman" w:cs="Times New Roman"/>
          <w:color w:val="auto"/>
        </w:rPr>
        <w:t>Specify all the REPs responsibilities regarding providing access to customers to providers of energy efficiency services.</w:t>
      </w:r>
    </w:p>
    <w:p w14:paraId="782ECE46" w14:textId="77777777" w:rsidR="0065364A" w:rsidRPr="00A23A6D" w:rsidRDefault="0065364A" w:rsidP="0065364A">
      <w:pPr>
        <w:pStyle w:val="Default"/>
        <w:numPr>
          <w:ilvl w:val="1"/>
          <w:numId w:val="19"/>
        </w:numPr>
        <w:ind w:left="720"/>
        <w:jc w:val="both"/>
        <w:rPr>
          <w:rFonts w:ascii="Times New Roman" w:hAnsi="Times New Roman" w:cs="Times New Roman"/>
          <w:color w:val="auto"/>
        </w:rPr>
      </w:pPr>
      <w:r w:rsidRPr="00A23A6D">
        <w:rPr>
          <w:rFonts w:ascii="Times New Roman" w:hAnsi="Times New Roman" w:cs="Times New Roman"/>
          <w:color w:val="auto"/>
        </w:rPr>
        <w:t xml:space="preserve">Clarify how an REP or a transmission &amp; distribution utility will secure funding for a demand response program that it offers. </w:t>
      </w:r>
    </w:p>
    <w:p w14:paraId="36AC4612" w14:textId="77777777" w:rsidR="0065364A" w:rsidRPr="00A23A6D" w:rsidRDefault="0065364A" w:rsidP="0065364A">
      <w:pPr>
        <w:pStyle w:val="Default"/>
        <w:ind w:left="720"/>
        <w:jc w:val="both"/>
        <w:rPr>
          <w:rFonts w:ascii="Times New Roman" w:hAnsi="Times New Roman" w:cs="Times New Roman"/>
          <w:color w:val="auto"/>
        </w:rPr>
      </w:pPr>
    </w:p>
    <w:p w14:paraId="0A08F716" w14:textId="77777777" w:rsidR="0065364A" w:rsidRPr="00A23A6D" w:rsidRDefault="0065364A" w:rsidP="0065364A">
      <w:pPr>
        <w:pStyle w:val="Default"/>
        <w:numPr>
          <w:ilvl w:val="0"/>
          <w:numId w:val="19"/>
        </w:numPr>
        <w:ind w:left="360"/>
        <w:jc w:val="both"/>
        <w:rPr>
          <w:rFonts w:ascii="Times New Roman" w:hAnsi="Times New Roman" w:cs="Times New Roman"/>
          <w:color w:val="auto"/>
        </w:rPr>
      </w:pPr>
      <w:r w:rsidRPr="00A23A6D">
        <w:rPr>
          <w:rFonts w:ascii="Times New Roman" w:hAnsi="Times New Roman" w:cs="Times New Roman"/>
        </w:rPr>
        <w:t>Staff Question 7. Houston recommends that the Energy Efficiency Division focus on:</w:t>
      </w:r>
    </w:p>
    <w:p w14:paraId="14FBB29A" w14:textId="77777777" w:rsidR="0065364A" w:rsidRPr="00A23A6D" w:rsidRDefault="0065364A" w:rsidP="00E376AA">
      <w:pPr>
        <w:pStyle w:val="Default"/>
        <w:numPr>
          <w:ilvl w:val="0"/>
          <w:numId w:val="20"/>
        </w:numPr>
        <w:tabs>
          <w:tab w:val="left" w:pos="720"/>
        </w:tabs>
        <w:ind w:left="720"/>
        <w:jc w:val="both"/>
        <w:rPr>
          <w:rFonts w:ascii="Times New Roman" w:hAnsi="Times New Roman" w:cs="Times New Roman"/>
        </w:rPr>
      </w:pPr>
      <w:r w:rsidRPr="00A23A6D">
        <w:rPr>
          <w:rFonts w:ascii="Times New Roman" w:hAnsi="Times New Roman" w:cs="Times New Roman"/>
        </w:rPr>
        <w:t xml:space="preserve">Developing more aggressive energy efficiency savings goals for all sectors for energy efficiency programs implemented by regulated electric utilities in the state. </w:t>
      </w:r>
    </w:p>
    <w:p w14:paraId="16FF8CD9" w14:textId="77777777" w:rsidR="0065364A" w:rsidRPr="00A23A6D" w:rsidRDefault="0065364A" w:rsidP="00E376AA">
      <w:pPr>
        <w:pStyle w:val="ListParagraph"/>
        <w:numPr>
          <w:ilvl w:val="0"/>
          <w:numId w:val="20"/>
        </w:numPr>
        <w:tabs>
          <w:tab w:val="left" w:pos="720"/>
        </w:tabs>
        <w:ind w:left="720"/>
        <w:rPr>
          <w:szCs w:val="24"/>
        </w:rPr>
      </w:pPr>
      <w:r w:rsidRPr="00A23A6D">
        <w:rPr>
          <w:szCs w:val="24"/>
        </w:rPr>
        <w:t xml:space="preserve">Implement a rulemaking to allow energy efficiency resources to compete head-to-head on a level playing field with supply-side resources. </w:t>
      </w:r>
    </w:p>
    <w:p w14:paraId="64CB1E92" w14:textId="77777777" w:rsidR="0065364A" w:rsidRPr="00A23A6D" w:rsidRDefault="0065364A" w:rsidP="00E376AA">
      <w:pPr>
        <w:pStyle w:val="ListParagraph"/>
        <w:numPr>
          <w:ilvl w:val="0"/>
          <w:numId w:val="20"/>
        </w:numPr>
        <w:tabs>
          <w:tab w:val="left" w:pos="720"/>
        </w:tabs>
        <w:ind w:left="720"/>
        <w:rPr>
          <w:szCs w:val="24"/>
        </w:rPr>
      </w:pPr>
      <w:r w:rsidRPr="00A23A6D">
        <w:rPr>
          <w:szCs w:val="24"/>
        </w:rPr>
        <w:t>Implement a rule-making to clarify that the avoided costs used in the PUC’s cost effectiveness test for energy efficiency measures and programs must account for transmission and distribution avoided costs, adjustments for line losses between the customer’s meter and the generation level of the grid, and take into account a reserve margin adjustment to recognize that a reduction of load at the customer meter of 1 kW will reduce generation requirements by more than 1 kW because generation reserve requirements will also be decreased.</w:t>
      </w:r>
    </w:p>
    <w:p w14:paraId="06FEA495" w14:textId="3B4B4090" w:rsidR="00FB08A6" w:rsidRPr="00A23A6D" w:rsidRDefault="0065364A" w:rsidP="00E376AA">
      <w:pPr>
        <w:pStyle w:val="ListParagraph"/>
        <w:numPr>
          <w:ilvl w:val="0"/>
          <w:numId w:val="20"/>
        </w:numPr>
        <w:tabs>
          <w:tab w:val="left" w:pos="720"/>
        </w:tabs>
        <w:ind w:left="720"/>
        <w:rPr>
          <w:szCs w:val="24"/>
        </w:rPr>
      </w:pPr>
      <w:r w:rsidRPr="00A23A6D">
        <w:rPr>
          <w:szCs w:val="24"/>
        </w:rPr>
        <w:t>Implement a PUC rule-making process to require regulated electric utilities to conduct an energy efficiency potential study every three or four years so that utilities have sufficient information when developing their energy efficiency plans and developing plans to meet future electricity demand.</w:t>
      </w:r>
    </w:p>
    <w:sectPr w:rsidR="00FB08A6" w:rsidRPr="00A23A6D" w:rsidSect="004B7E13">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08FB94" w14:textId="77777777" w:rsidR="005B0455" w:rsidRDefault="005B0455" w:rsidP="00C452CA">
      <w:r>
        <w:separator/>
      </w:r>
    </w:p>
  </w:endnote>
  <w:endnote w:type="continuationSeparator" w:id="0">
    <w:p w14:paraId="7D9556ED" w14:textId="77777777" w:rsidR="005B0455" w:rsidRDefault="005B0455" w:rsidP="00C45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E097C1" w14:textId="77777777" w:rsidR="00006E5D" w:rsidRDefault="00006E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70B29" w14:textId="77777777" w:rsidR="00C452CA" w:rsidRPr="00C452CA" w:rsidRDefault="00C452CA">
    <w:pPr>
      <w:pStyle w:val="Footer"/>
      <w:tabs>
        <w:tab w:val="clear" w:pos="4680"/>
        <w:tab w:val="clear" w:pos="9360"/>
      </w:tabs>
      <w:jc w:val="center"/>
      <w:rPr>
        <w:caps/>
        <w:noProof/>
      </w:rPr>
    </w:pPr>
    <w:r w:rsidRPr="00C452CA">
      <w:rPr>
        <w:caps/>
      </w:rPr>
      <w:fldChar w:fldCharType="begin"/>
    </w:r>
    <w:r w:rsidRPr="00C452CA">
      <w:rPr>
        <w:caps/>
      </w:rPr>
      <w:instrText xml:space="preserve"> PAGE   \* MERGEFORMAT </w:instrText>
    </w:r>
    <w:r w:rsidRPr="00C452CA">
      <w:rPr>
        <w:caps/>
      </w:rPr>
      <w:fldChar w:fldCharType="separate"/>
    </w:r>
    <w:r w:rsidR="0040348A">
      <w:rPr>
        <w:caps/>
        <w:noProof/>
      </w:rPr>
      <w:t>2</w:t>
    </w:r>
    <w:r w:rsidRPr="00C452CA">
      <w:rPr>
        <w:caps/>
        <w:noProof/>
      </w:rPr>
      <w:fldChar w:fldCharType="end"/>
    </w:r>
  </w:p>
  <w:p w14:paraId="26C3F472" w14:textId="79DFB6BD" w:rsidR="00C452CA" w:rsidRPr="00034F4C" w:rsidRDefault="00C452CA">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747698" w14:textId="77777777" w:rsidR="00006E5D" w:rsidRDefault="00006E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F1AF1D" w14:textId="77777777" w:rsidR="005B0455" w:rsidRDefault="005B0455" w:rsidP="00C452CA">
      <w:r>
        <w:separator/>
      </w:r>
    </w:p>
  </w:footnote>
  <w:footnote w:type="continuationSeparator" w:id="0">
    <w:p w14:paraId="65031FDB" w14:textId="77777777" w:rsidR="005B0455" w:rsidRDefault="005B0455" w:rsidP="00C452CA">
      <w:r>
        <w:continuationSeparator/>
      </w:r>
    </w:p>
  </w:footnote>
  <w:footnote w:id="1">
    <w:p w14:paraId="41EFD793" w14:textId="4624690B" w:rsidR="00654484" w:rsidRPr="000F4EF9" w:rsidRDefault="00654484" w:rsidP="00654484">
      <w:pPr>
        <w:pStyle w:val="FootnoteText"/>
        <w:jc w:val="both"/>
        <w:rPr>
          <w:rFonts w:ascii="Times New Roman" w:hAnsi="Times New Roman" w:cs="Times New Roman"/>
        </w:rPr>
      </w:pPr>
      <w:r w:rsidRPr="000F4EF9">
        <w:rPr>
          <w:rStyle w:val="FootnoteReference"/>
          <w:rFonts w:ascii="Times New Roman" w:hAnsi="Times New Roman" w:cs="Times New Roman"/>
        </w:rPr>
        <w:footnoteRef/>
      </w:r>
      <w:r w:rsidRPr="000F4EF9">
        <w:rPr>
          <w:rFonts w:ascii="Times New Roman" w:hAnsi="Times New Roman" w:cs="Times New Roman"/>
        </w:rPr>
        <w:t xml:space="preserve"> National Standard Practice Manual for Assessing the Cost Effectiveness of Energy Efficiency Resources, Edition 1, Spring 2017, </w:t>
      </w:r>
      <w:r w:rsidR="00BF5684">
        <w:rPr>
          <w:rFonts w:ascii="Times New Roman" w:hAnsi="Times New Roman" w:cs="Times New Roman"/>
        </w:rPr>
        <w:t>p</w:t>
      </w:r>
      <w:r w:rsidRPr="000F4EF9">
        <w:rPr>
          <w:rFonts w:ascii="Times New Roman" w:hAnsi="Times New Roman" w:cs="Times New Roman"/>
        </w:rPr>
        <w:t>repared by The National Efficiency Screening Project, see page 50. The NSPM, and related materials from the NESP, are available at: https://nationalefficiencyscreening.org</w:t>
      </w:r>
      <w:r w:rsidR="002C5F4D">
        <w:rPr>
          <w:rFonts w:ascii="Times New Roman" w:hAnsi="Times New Roman" w:cs="Times New Roman"/>
        </w:rPr>
        <w:t>.</w:t>
      </w:r>
    </w:p>
  </w:footnote>
  <w:footnote w:id="2">
    <w:p w14:paraId="38ADA22F" w14:textId="663467F4" w:rsidR="009A7FAE" w:rsidRPr="00A369DF" w:rsidRDefault="009A7FAE" w:rsidP="009A7FAE">
      <w:pPr>
        <w:pStyle w:val="FootnoteText"/>
        <w:rPr>
          <w:rFonts w:ascii="Times New Roman" w:hAnsi="Times New Roman" w:cs="Times New Roman"/>
        </w:rPr>
      </w:pPr>
      <w:r w:rsidRPr="000F4EF9">
        <w:rPr>
          <w:rStyle w:val="FootnoteReference"/>
          <w:rFonts w:ascii="Times New Roman" w:hAnsi="Times New Roman" w:cs="Times New Roman"/>
        </w:rPr>
        <w:footnoteRef/>
      </w:r>
      <w:r w:rsidRPr="000F4EF9">
        <w:rPr>
          <w:rFonts w:ascii="Times New Roman" w:hAnsi="Times New Roman" w:cs="Times New Roman"/>
        </w:rPr>
        <w:t xml:space="preserve"> </w:t>
      </w:r>
      <w:r w:rsidRPr="00A369DF">
        <w:rPr>
          <w:rFonts w:ascii="Times New Roman" w:hAnsi="Times New Roman" w:cs="Times New Roman"/>
        </w:rPr>
        <w:t>Id., page 51.</w:t>
      </w:r>
    </w:p>
  </w:footnote>
  <w:footnote w:id="3">
    <w:p w14:paraId="7833C07C" w14:textId="77777777" w:rsidR="009A7FAE" w:rsidRPr="00A369DF" w:rsidRDefault="009A7FAE" w:rsidP="009A7FAE">
      <w:pPr>
        <w:pStyle w:val="FootnoteText"/>
        <w:rPr>
          <w:rFonts w:ascii="Times New Roman" w:hAnsi="Times New Roman" w:cs="Times New Roman"/>
        </w:rPr>
      </w:pPr>
      <w:r w:rsidRPr="00A369DF">
        <w:rPr>
          <w:rStyle w:val="FootnoteReference"/>
          <w:rFonts w:ascii="Times New Roman" w:hAnsi="Times New Roman" w:cs="Times New Roman"/>
        </w:rPr>
        <w:footnoteRef/>
      </w:r>
      <w:r w:rsidRPr="00A369DF">
        <w:rPr>
          <w:rFonts w:ascii="Times New Roman" w:hAnsi="Times New Roman" w:cs="Times New Roman"/>
        </w:rPr>
        <w:t xml:space="preserve"> Id., page 51.</w:t>
      </w:r>
    </w:p>
  </w:footnote>
  <w:footnote w:id="4">
    <w:p w14:paraId="746C45F6" w14:textId="77777777" w:rsidR="009A7FAE" w:rsidRPr="00A369DF" w:rsidRDefault="009A7FAE" w:rsidP="009A7FAE">
      <w:pPr>
        <w:pStyle w:val="FootnoteText"/>
        <w:rPr>
          <w:rFonts w:ascii="Times New Roman" w:hAnsi="Times New Roman" w:cs="Times New Roman"/>
        </w:rPr>
      </w:pPr>
      <w:r w:rsidRPr="00A369DF">
        <w:rPr>
          <w:rStyle w:val="FootnoteReference"/>
          <w:rFonts w:ascii="Times New Roman" w:hAnsi="Times New Roman" w:cs="Times New Roman"/>
        </w:rPr>
        <w:footnoteRef/>
      </w:r>
      <w:r w:rsidRPr="00A369DF">
        <w:rPr>
          <w:rFonts w:ascii="Times New Roman" w:hAnsi="Times New Roman" w:cs="Times New Roman"/>
        </w:rPr>
        <w:t xml:space="preserve"> Id., page 51.</w:t>
      </w:r>
    </w:p>
  </w:footnote>
  <w:footnote w:id="5">
    <w:p w14:paraId="04CC15B9" w14:textId="36B1E4D1" w:rsidR="0057018D" w:rsidRPr="00410FDF" w:rsidRDefault="0057018D">
      <w:pPr>
        <w:pStyle w:val="FootnoteText"/>
        <w:rPr>
          <w:rFonts w:ascii="Times New Roman" w:hAnsi="Times New Roman" w:cs="Times New Roman"/>
        </w:rPr>
      </w:pPr>
      <w:r w:rsidRPr="00410FDF">
        <w:rPr>
          <w:rStyle w:val="FootnoteReference"/>
          <w:rFonts w:ascii="Times New Roman" w:hAnsi="Times New Roman" w:cs="Times New Roman"/>
        </w:rPr>
        <w:footnoteRef/>
      </w:r>
      <w:r w:rsidRPr="00410FDF">
        <w:rPr>
          <w:rFonts w:ascii="Times New Roman" w:hAnsi="Times New Roman" w:cs="Times New Roman"/>
        </w:rPr>
        <w:t xml:space="preserve"> </w:t>
      </w:r>
      <w:r w:rsidR="004A4082" w:rsidRPr="00410FDF">
        <w:rPr>
          <w:rFonts w:ascii="Times New Roman" w:hAnsi="Times New Roman" w:cs="Times New Roman"/>
        </w:rPr>
        <w:t>Tex</w:t>
      </w:r>
      <w:r w:rsidR="009F2266" w:rsidRPr="00410FDF">
        <w:rPr>
          <w:rFonts w:ascii="Times New Roman" w:hAnsi="Times New Roman" w:cs="Times New Roman"/>
        </w:rPr>
        <w:t xml:space="preserve">as Administrative Code (TAC), </w:t>
      </w:r>
      <w:r w:rsidR="00337831" w:rsidRPr="00410FDF">
        <w:rPr>
          <w:rFonts w:ascii="Times New Roman" w:hAnsi="Times New Roman" w:cs="Times New Roman"/>
        </w:rPr>
        <w:t xml:space="preserve">Chapter 25 of the </w:t>
      </w:r>
      <w:r w:rsidR="00337831" w:rsidRPr="00410FDF">
        <w:rPr>
          <w:rFonts w:ascii="Times New Roman" w:hAnsi="Times New Roman" w:cs="Times New Roman"/>
          <w:b/>
          <w:bCs/>
        </w:rPr>
        <w:t>SUBSTANTIVE RULES APPLICABLE TO ELECTRIC SERVICE PROVIDERS</w:t>
      </w:r>
      <w:r w:rsidR="00337831" w:rsidRPr="00410FDF">
        <w:rPr>
          <w:rFonts w:ascii="Times New Roman" w:hAnsi="Times New Roman" w:cs="Times New Roman"/>
        </w:rPr>
        <w:t xml:space="preserve">, </w:t>
      </w:r>
      <w:r w:rsidR="00166D12" w:rsidRPr="00410FDF">
        <w:rPr>
          <w:rFonts w:ascii="Times New Roman" w:hAnsi="Times New Roman" w:cs="Times New Roman"/>
        </w:rPr>
        <w:t xml:space="preserve">Subchapter H, Division 2, </w:t>
      </w:r>
      <w:r w:rsidR="00A12DF8" w:rsidRPr="00A369DF">
        <w:rPr>
          <w:rFonts w:ascii="Times New Roman" w:hAnsi="Times New Roman" w:cs="Times New Roman"/>
        </w:rPr>
        <w:t>(d), Cost Effectiveness Standard.</w:t>
      </w:r>
    </w:p>
  </w:footnote>
  <w:footnote w:id="6">
    <w:p w14:paraId="0BA79712" w14:textId="50AFE52D" w:rsidR="003E4EBA" w:rsidRPr="00410FDF" w:rsidRDefault="003E4EBA" w:rsidP="00410FDF">
      <w:pPr>
        <w:pStyle w:val="FootnoteText"/>
        <w:jc w:val="both"/>
        <w:rPr>
          <w:rFonts w:ascii="Times New Roman" w:hAnsi="Times New Roman" w:cs="Times New Roman"/>
        </w:rPr>
      </w:pPr>
      <w:r>
        <w:rPr>
          <w:rStyle w:val="FootnoteReference"/>
        </w:rPr>
        <w:footnoteRef/>
      </w:r>
      <w:r>
        <w:t xml:space="preserve"> </w:t>
      </w:r>
      <w:r w:rsidRPr="00410FDF">
        <w:rPr>
          <w:rFonts w:ascii="Times New Roman" w:hAnsi="Times New Roman" w:cs="Times New Roman"/>
        </w:rPr>
        <w:t xml:space="preserve">Texas Administrative Code (TAC), </w:t>
      </w:r>
      <w:r w:rsidRPr="00551D07">
        <w:rPr>
          <w:rFonts w:ascii="Times New Roman" w:hAnsi="Times New Roman" w:cs="Times New Roman"/>
        </w:rPr>
        <w:t xml:space="preserve">Chapter 25 of the </w:t>
      </w:r>
      <w:r w:rsidRPr="00551D07">
        <w:rPr>
          <w:rFonts w:ascii="Times New Roman" w:hAnsi="Times New Roman" w:cs="Times New Roman"/>
          <w:b/>
          <w:bCs/>
        </w:rPr>
        <w:t>SUBSTANTIVE RULES APPLICABLE TO ELECTRIC SERVICE PROVIDERS</w:t>
      </w:r>
      <w:r w:rsidRPr="00551D07">
        <w:rPr>
          <w:rFonts w:ascii="Times New Roman" w:hAnsi="Times New Roman" w:cs="Times New Roman"/>
        </w:rPr>
        <w:t>, Subchapter H, Division 2, (</w:t>
      </w:r>
      <w:r w:rsidR="00F60993" w:rsidRPr="00551D07">
        <w:rPr>
          <w:rFonts w:ascii="Times New Roman" w:hAnsi="Times New Roman" w:cs="Times New Roman"/>
        </w:rPr>
        <w:t>o</w:t>
      </w:r>
      <w:r w:rsidRPr="00551D07">
        <w:rPr>
          <w:rFonts w:ascii="Times New Roman" w:hAnsi="Times New Roman" w:cs="Times New Roman"/>
        </w:rPr>
        <w:t xml:space="preserve">), </w:t>
      </w:r>
      <w:r w:rsidR="00F60993" w:rsidRPr="00551D07">
        <w:rPr>
          <w:rFonts w:ascii="Times New Roman" w:hAnsi="Times New Roman" w:cs="Times New Roman"/>
        </w:rPr>
        <w:t>Evaluation</w:t>
      </w:r>
      <w:r w:rsidR="00994D23" w:rsidRPr="00551D07">
        <w:rPr>
          <w:rFonts w:ascii="Times New Roman" w:hAnsi="Times New Roman" w:cs="Times New Roman"/>
        </w:rPr>
        <w:t>, Measurement</w:t>
      </w:r>
      <w:r w:rsidR="00074FF1" w:rsidRPr="00551D07">
        <w:rPr>
          <w:rFonts w:ascii="Times New Roman" w:hAnsi="Times New Roman" w:cs="Times New Roman"/>
        </w:rPr>
        <w:t xml:space="preserve"> and Verification.</w:t>
      </w:r>
    </w:p>
  </w:footnote>
  <w:footnote w:id="7">
    <w:p w14:paraId="72FDF34F" w14:textId="0AE76B3A" w:rsidR="00154BAD" w:rsidRPr="00410FDF" w:rsidRDefault="00154BAD" w:rsidP="00410FDF">
      <w:pPr>
        <w:pStyle w:val="FootnoteText"/>
        <w:jc w:val="both"/>
        <w:rPr>
          <w:rFonts w:ascii="Times New Roman" w:hAnsi="Times New Roman" w:cs="Times New Roman"/>
        </w:rPr>
      </w:pPr>
      <w:r w:rsidRPr="00410FDF">
        <w:rPr>
          <w:rStyle w:val="FootnoteReference"/>
          <w:rFonts w:ascii="Times New Roman" w:hAnsi="Times New Roman" w:cs="Times New Roman"/>
        </w:rPr>
        <w:footnoteRef/>
      </w:r>
      <w:r w:rsidRPr="00410FDF">
        <w:rPr>
          <w:rFonts w:ascii="Times New Roman" w:hAnsi="Times New Roman" w:cs="Times New Roman"/>
        </w:rPr>
        <w:t xml:space="preserve"> </w:t>
      </w:r>
      <w:r w:rsidRPr="00410FDF">
        <w:rPr>
          <w:rFonts w:ascii="Times New Roman" w:hAnsi="Times New Roman" w:cs="Times New Roman"/>
          <w:u w:val="single"/>
        </w:rPr>
        <w:t>Id</w:t>
      </w:r>
      <w:r w:rsidRPr="00410FDF">
        <w:rPr>
          <w:rFonts w:ascii="Times New Roman" w:hAnsi="Times New Roman" w:cs="Times New Roman"/>
        </w:rPr>
        <w:t>.</w:t>
      </w:r>
    </w:p>
  </w:footnote>
  <w:footnote w:id="8">
    <w:p w14:paraId="3269F9C8" w14:textId="790DBBD1" w:rsidR="00E26C74" w:rsidRPr="00551D07" w:rsidRDefault="00E26C74" w:rsidP="00410FDF">
      <w:pPr>
        <w:pStyle w:val="FootnoteText"/>
        <w:jc w:val="both"/>
        <w:rPr>
          <w:rFonts w:ascii="Times New Roman" w:hAnsi="Times New Roman" w:cs="Times New Roman"/>
        </w:rPr>
      </w:pPr>
      <w:r w:rsidRPr="00410FDF">
        <w:rPr>
          <w:rStyle w:val="FootnoteReference"/>
          <w:rFonts w:ascii="Times New Roman" w:hAnsi="Times New Roman" w:cs="Times New Roman"/>
        </w:rPr>
        <w:footnoteRef/>
      </w:r>
      <w:r w:rsidRPr="00410FDF">
        <w:rPr>
          <w:rFonts w:ascii="Times New Roman" w:hAnsi="Times New Roman" w:cs="Times New Roman"/>
        </w:rPr>
        <w:t xml:space="preserve"> Texas Administrative Code (TAC), </w:t>
      </w:r>
      <w:r w:rsidRPr="00551D07">
        <w:rPr>
          <w:rFonts w:ascii="Times New Roman" w:hAnsi="Times New Roman" w:cs="Times New Roman"/>
        </w:rPr>
        <w:t xml:space="preserve">Chapter 25 of the </w:t>
      </w:r>
      <w:r w:rsidRPr="00551D07">
        <w:rPr>
          <w:rFonts w:ascii="Times New Roman" w:hAnsi="Times New Roman" w:cs="Times New Roman"/>
          <w:b/>
          <w:bCs/>
        </w:rPr>
        <w:t>SUBSTANTIVE RULES APPLICABLE TO ELECTRIC SERVICE PROVIDERS</w:t>
      </w:r>
      <w:r w:rsidRPr="00551D07">
        <w:rPr>
          <w:rFonts w:ascii="Times New Roman" w:hAnsi="Times New Roman" w:cs="Times New Roman"/>
        </w:rPr>
        <w:t>, Subchapter H, Division 2, (d), Cost Effectiveness Standard.</w:t>
      </w:r>
    </w:p>
    <w:p w14:paraId="26A03ECF" w14:textId="77777777" w:rsidR="00E26C74" w:rsidRPr="00410FDF" w:rsidRDefault="00E26C74" w:rsidP="00410FDF">
      <w:pPr>
        <w:pStyle w:val="FootnoteText"/>
        <w:jc w:val="both"/>
        <w:rPr>
          <w:rFonts w:ascii="Times New Roman" w:hAnsi="Times New Roman" w:cs="Times New Roman"/>
        </w:rPr>
      </w:pPr>
    </w:p>
    <w:p w14:paraId="5D1CE3F9" w14:textId="6C964232" w:rsidR="00E26C74" w:rsidRDefault="00E26C74">
      <w:pPr>
        <w:pStyle w:val="FootnoteText"/>
      </w:pPr>
    </w:p>
  </w:footnote>
  <w:footnote w:id="9">
    <w:p w14:paraId="77878899" w14:textId="6D023F42" w:rsidR="0096371E" w:rsidRPr="00410FDF" w:rsidRDefault="0096371E" w:rsidP="00410FDF">
      <w:pPr>
        <w:pStyle w:val="FootnoteText"/>
        <w:jc w:val="both"/>
        <w:rPr>
          <w:rFonts w:ascii="Times New Roman" w:hAnsi="Times New Roman" w:cs="Times New Roman"/>
        </w:rPr>
      </w:pPr>
      <w:r>
        <w:rPr>
          <w:rStyle w:val="FootnoteReference"/>
        </w:rPr>
        <w:footnoteRef/>
      </w:r>
      <w:r>
        <w:t xml:space="preserve"> </w:t>
      </w:r>
      <w:r w:rsidR="00292B30" w:rsidRPr="00410FDF">
        <w:rPr>
          <w:rFonts w:ascii="Times New Roman" w:hAnsi="Times New Roman" w:cs="Times New Roman"/>
        </w:rPr>
        <w:t xml:space="preserve">The </w:t>
      </w:r>
      <w:r w:rsidR="00376A3B" w:rsidRPr="00410FDF">
        <w:rPr>
          <w:rFonts w:ascii="Times New Roman" w:hAnsi="Times New Roman" w:cs="Times New Roman"/>
        </w:rPr>
        <w:t xml:space="preserve">December 2023 </w:t>
      </w:r>
      <w:r w:rsidR="002443B1" w:rsidRPr="00410FDF">
        <w:rPr>
          <w:rFonts w:ascii="Times New Roman" w:hAnsi="Times New Roman" w:cs="Times New Roman"/>
        </w:rPr>
        <w:t xml:space="preserve">Report on the </w:t>
      </w:r>
      <w:r w:rsidR="00376A3B" w:rsidRPr="00410FDF">
        <w:rPr>
          <w:rFonts w:ascii="Times New Roman" w:hAnsi="Times New Roman" w:cs="Times New Roman"/>
        </w:rPr>
        <w:t xml:space="preserve">Capacity, Demand and </w:t>
      </w:r>
      <w:r w:rsidR="00DB71C9" w:rsidRPr="00410FDF">
        <w:rPr>
          <w:rFonts w:ascii="Times New Roman" w:hAnsi="Times New Roman" w:cs="Times New Roman"/>
        </w:rPr>
        <w:t>Reserves in the ERCOT Region</w:t>
      </w:r>
      <w:r w:rsidR="007A6D80" w:rsidRPr="00410FDF">
        <w:rPr>
          <w:rFonts w:ascii="Times New Roman" w:hAnsi="Times New Roman" w:cs="Times New Roman"/>
        </w:rPr>
        <w:t xml:space="preserve"> 2024-2033</w:t>
      </w:r>
      <w:r w:rsidR="00DB71C9" w:rsidRPr="00410FDF">
        <w:rPr>
          <w:rFonts w:ascii="Times New Roman" w:hAnsi="Times New Roman" w:cs="Times New Roman"/>
        </w:rPr>
        <w:t xml:space="preserve"> sh</w:t>
      </w:r>
      <w:r w:rsidR="00376A3B" w:rsidRPr="00410FDF">
        <w:rPr>
          <w:rFonts w:ascii="Times New Roman" w:hAnsi="Times New Roman" w:cs="Times New Roman"/>
        </w:rPr>
        <w:t xml:space="preserve">ows the forecast </w:t>
      </w:r>
      <w:r w:rsidR="005F6358" w:rsidRPr="00410FDF">
        <w:rPr>
          <w:rFonts w:ascii="Times New Roman" w:hAnsi="Times New Roman" w:cs="Times New Roman"/>
        </w:rPr>
        <w:t xml:space="preserve">generation </w:t>
      </w:r>
      <w:r w:rsidR="00376A3B" w:rsidRPr="00410FDF">
        <w:rPr>
          <w:rFonts w:ascii="Times New Roman" w:hAnsi="Times New Roman" w:cs="Times New Roman"/>
        </w:rPr>
        <w:t>reserve margin</w:t>
      </w:r>
      <w:r w:rsidR="008638AA" w:rsidRPr="00410FDF">
        <w:rPr>
          <w:rFonts w:ascii="Times New Roman" w:hAnsi="Times New Roman" w:cs="Times New Roman"/>
        </w:rPr>
        <w:t xml:space="preserve"> to be 29.</w:t>
      </w:r>
      <w:r w:rsidR="00FD4BDA" w:rsidRPr="00410FDF">
        <w:rPr>
          <w:rFonts w:ascii="Times New Roman" w:hAnsi="Times New Roman" w:cs="Times New Roman"/>
        </w:rPr>
        <w:t>4</w:t>
      </w:r>
      <w:r w:rsidR="008638AA" w:rsidRPr="00410FDF">
        <w:rPr>
          <w:rFonts w:ascii="Times New Roman" w:hAnsi="Times New Roman" w:cs="Times New Roman"/>
        </w:rPr>
        <w:t xml:space="preserve">% in 2024, </w:t>
      </w:r>
      <w:r w:rsidR="00FD4BDA" w:rsidRPr="00410FDF">
        <w:rPr>
          <w:rFonts w:ascii="Times New Roman" w:hAnsi="Times New Roman" w:cs="Times New Roman"/>
        </w:rPr>
        <w:t xml:space="preserve">46.7% in 2025, 54.1% in 2026, </w:t>
      </w:r>
      <w:r w:rsidR="00D759A0" w:rsidRPr="00410FDF">
        <w:rPr>
          <w:rFonts w:ascii="Times New Roman" w:hAnsi="Times New Roman" w:cs="Times New Roman"/>
        </w:rPr>
        <w:t xml:space="preserve">54.8% in 2027, and 51.7% in </w:t>
      </w:r>
      <w:r w:rsidR="005F6358" w:rsidRPr="00410FDF">
        <w:rPr>
          <w:rFonts w:ascii="Times New Roman" w:hAnsi="Times New Roman" w:cs="Times New Roman"/>
        </w:rPr>
        <w:t>2028.</w:t>
      </w:r>
      <w:r w:rsidR="006A32FF" w:rsidRPr="00410FDF">
        <w:rPr>
          <w:rFonts w:ascii="Times New Roman" w:hAnsi="Times New Roman" w:cs="Times New Roman"/>
        </w:rPr>
        <w:t xml:space="preserve"> The ERCOT website does not provide information on the </w:t>
      </w:r>
      <w:r w:rsidR="001E71E3" w:rsidRPr="00410FDF">
        <w:rPr>
          <w:rFonts w:ascii="Times New Roman" w:hAnsi="Times New Roman" w:cs="Times New Roman"/>
        </w:rPr>
        <w:t>minimum required generation reserve margin</w:t>
      </w:r>
      <w:r w:rsidR="00C06603" w:rsidRPr="00410FDF">
        <w:rPr>
          <w:rFonts w:ascii="Times New Roman" w:hAnsi="Times New Roman" w:cs="Times New Roman"/>
        </w:rPr>
        <w:t>.</w:t>
      </w:r>
      <w:r w:rsidR="001E71E3" w:rsidRPr="00410FDF">
        <w:rPr>
          <w:rFonts w:ascii="Times New Roman" w:hAnsi="Times New Roman" w:cs="Times New Roman"/>
        </w:rPr>
        <w:t xml:space="preserve"> </w:t>
      </w:r>
      <w:r w:rsidR="000939E5" w:rsidRPr="00410FDF">
        <w:rPr>
          <w:rFonts w:ascii="Times New Roman" w:hAnsi="Times New Roman" w:cs="Times New Roman"/>
        </w:rPr>
        <w:t xml:space="preserve"> </w:t>
      </w:r>
      <w:r w:rsidR="005F6358" w:rsidRPr="00410FDF">
        <w:rPr>
          <w:rFonts w:ascii="Times New Roman" w:hAnsi="Times New Roman" w:cs="Times New Roman"/>
        </w:rPr>
        <w:t xml:space="preserve"> </w:t>
      </w:r>
    </w:p>
  </w:footnote>
  <w:footnote w:id="10">
    <w:p w14:paraId="73D1BA46" w14:textId="77777777" w:rsidR="00CC5CFE" w:rsidRPr="00B31751" w:rsidRDefault="00CC5CFE" w:rsidP="00CC5CFE">
      <w:pPr>
        <w:pStyle w:val="FootnoteText"/>
        <w:rPr>
          <w:rFonts w:ascii="Times New Roman" w:hAnsi="Times New Roman" w:cs="Times New Roman"/>
        </w:rPr>
      </w:pPr>
      <w:r w:rsidRPr="00B31751">
        <w:rPr>
          <w:rStyle w:val="FootnoteReference"/>
          <w:rFonts w:ascii="Times New Roman" w:hAnsi="Times New Roman" w:cs="Times New Roman"/>
        </w:rPr>
        <w:footnoteRef/>
      </w:r>
      <w:r w:rsidRPr="00B31751">
        <w:rPr>
          <w:rFonts w:ascii="Times New Roman" w:hAnsi="Times New Roman" w:cs="Times New Roman"/>
        </w:rPr>
        <w:t xml:space="preserve"> American Council for an Energy Efficient Economy, “2023 Utility Energy Efficiency Scorecard Report”, August 2023. This report can be downloaded from the ACEEE website (aceee.org).</w:t>
      </w:r>
    </w:p>
  </w:footnote>
  <w:footnote w:id="11">
    <w:p w14:paraId="5C246327" w14:textId="7ED82C0C" w:rsidR="00080B25" w:rsidRPr="00E376AA" w:rsidRDefault="00080B25">
      <w:pPr>
        <w:pStyle w:val="FootnoteText"/>
        <w:rPr>
          <w:rFonts w:ascii="Times New Roman" w:hAnsi="Times New Roman" w:cs="Times New Roman"/>
        </w:rPr>
      </w:pPr>
      <w:r w:rsidRPr="00E376AA">
        <w:rPr>
          <w:rStyle w:val="FootnoteReference"/>
          <w:rFonts w:ascii="Times New Roman" w:hAnsi="Times New Roman" w:cs="Times New Roman"/>
        </w:rPr>
        <w:footnoteRef/>
      </w:r>
      <w:r w:rsidRPr="00E376AA">
        <w:rPr>
          <w:rFonts w:ascii="Times New Roman" w:hAnsi="Times New Roman" w:cs="Times New Roman"/>
        </w:rPr>
        <w:t xml:space="preserve"> American Council for an Energy Efficient Economy, </w:t>
      </w:r>
      <w:r w:rsidR="00270FB5" w:rsidRPr="00E376AA">
        <w:rPr>
          <w:rFonts w:ascii="Times New Roman" w:hAnsi="Times New Roman" w:cs="Times New Roman"/>
        </w:rPr>
        <w:t xml:space="preserve">“Energy Efficiency and Demand Response”, by Steve Nadel, Jennifer Amann, </w:t>
      </w:r>
      <w:r w:rsidR="002F52E4" w:rsidRPr="00E376AA">
        <w:rPr>
          <w:rFonts w:ascii="Times New Roman" w:hAnsi="Times New Roman" w:cs="Times New Roman"/>
        </w:rPr>
        <w:t>and Helen Chen, August 2023, page</w:t>
      </w:r>
      <w:r w:rsidR="00B75136" w:rsidRPr="00E376AA">
        <w:rPr>
          <w:rFonts w:ascii="Times New Roman" w:hAnsi="Times New Roman" w:cs="Times New Roman"/>
        </w:rPr>
        <w:t>s 5 and 8.</w:t>
      </w:r>
    </w:p>
  </w:footnote>
  <w:footnote w:id="12">
    <w:p w14:paraId="1366E3FD" w14:textId="0554D581" w:rsidR="009C2A75" w:rsidRPr="00BA65A9" w:rsidRDefault="009C2A75" w:rsidP="00BA65A9">
      <w:pPr>
        <w:pStyle w:val="FootnoteText"/>
        <w:jc w:val="both"/>
        <w:rPr>
          <w:rFonts w:ascii="Times New Roman" w:hAnsi="Times New Roman" w:cs="Times New Roman"/>
        </w:rPr>
      </w:pPr>
      <w:r w:rsidRPr="00E376AA">
        <w:rPr>
          <w:rStyle w:val="FootnoteReference"/>
          <w:rFonts w:ascii="Times New Roman" w:hAnsi="Times New Roman" w:cs="Times New Roman"/>
        </w:rPr>
        <w:footnoteRef/>
      </w:r>
      <w:r w:rsidRPr="00E376AA">
        <w:rPr>
          <w:rFonts w:ascii="Times New Roman" w:hAnsi="Times New Roman" w:cs="Times New Roman"/>
        </w:rPr>
        <w:t xml:space="preserve"> </w:t>
      </w:r>
      <w:r w:rsidR="00CB7DD8" w:rsidRPr="00E376AA">
        <w:rPr>
          <w:rFonts w:ascii="Times New Roman" w:hAnsi="Times New Roman" w:cs="Times New Roman"/>
        </w:rPr>
        <w:t xml:space="preserve">See </w:t>
      </w:r>
      <w:r w:rsidR="00E5709C" w:rsidRPr="00E376AA">
        <w:rPr>
          <w:rFonts w:ascii="Times New Roman" w:hAnsi="Times New Roman" w:cs="Times New Roman"/>
        </w:rPr>
        <w:t xml:space="preserve">the Table on page 10 of the December 8, 2023 </w:t>
      </w:r>
      <w:r w:rsidR="00DF1F47" w:rsidRPr="00E376AA">
        <w:rPr>
          <w:rFonts w:ascii="Times New Roman" w:hAnsi="Times New Roman" w:cs="Times New Roman"/>
        </w:rPr>
        <w:t xml:space="preserve">“Report on the Capacity, Demand and Reserves (CDR) </w:t>
      </w:r>
      <w:r w:rsidR="00FF296F" w:rsidRPr="00E376AA">
        <w:rPr>
          <w:rFonts w:ascii="Times New Roman" w:hAnsi="Times New Roman" w:cs="Times New Roman"/>
        </w:rPr>
        <w:t>in the ERCOT Region, 2024-2033</w:t>
      </w:r>
      <w:r w:rsidR="0012654B" w:rsidRPr="00E376AA">
        <w:rPr>
          <w:rFonts w:ascii="Times New Roman" w:hAnsi="Times New Roman" w:cs="Times New Roman"/>
        </w:rPr>
        <w:t>”</w:t>
      </w:r>
      <w:r w:rsidR="00FF296F" w:rsidRPr="00E376AA">
        <w:rPr>
          <w:rFonts w:ascii="Times New Roman" w:hAnsi="Times New Roman" w:cs="Times New Roman"/>
        </w:rPr>
        <w:t xml:space="preserve">. </w:t>
      </w:r>
      <w:r w:rsidR="009A086A" w:rsidRPr="00E376AA">
        <w:rPr>
          <w:rFonts w:ascii="Times New Roman" w:hAnsi="Times New Roman" w:cs="Times New Roman"/>
        </w:rPr>
        <w:t xml:space="preserve">The amount of potential summer peak load reduction from load management and energy efficiency programs available in the ERCOT region is provided in rows </w:t>
      </w:r>
      <w:r w:rsidR="00BA65A9" w:rsidRPr="00E376AA">
        <w:rPr>
          <w:rFonts w:ascii="Times New Roman" w:hAnsi="Times New Roman" w:cs="Times New Roman"/>
        </w:rPr>
        <w:t>8 and 9 of this Table for the years 2024 to 2033.</w:t>
      </w:r>
    </w:p>
  </w:footnote>
  <w:footnote w:id="13">
    <w:p w14:paraId="1CE57CED" w14:textId="77777777" w:rsidR="0065364A" w:rsidRPr="00E376AA" w:rsidRDefault="0065364A" w:rsidP="0065364A">
      <w:pPr>
        <w:pStyle w:val="FootnoteText"/>
        <w:rPr>
          <w:rFonts w:ascii="Times New Roman" w:hAnsi="Times New Roman" w:cs="Times New Roman"/>
        </w:rPr>
      </w:pPr>
      <w:r w:rsidRPr="00E376AA">
        <w:rPr>
          <w:rStyle w:val="FootnoteReference"/>
          <w:rFonts w:ascii="Times New Roman" w:hAnsi="Times New Roman" w:cs="Times New Roman"/>
        </w:rPr>
        <w:footnoteRef/>
      </w:r>
      <w:r w:rsidRPr="00E376AA">
        <w:rPr>
          <w:rFonts w:ascii="Times New Roman" w:hAnsi="Times New Roman" w:cs="Times New Roman"/>
        </w:rPr>
        <w:t xml:space="preserve"> Texas Administrative Code (TAC), Chapter 25 of the </w:t>
      </w:r>
      <w:r w:rsidRPr="00E376AA">
        <w:rPr>
          <w:rFonts w:ascii="Times New Roman" w:hAnsi="Times New Roman" w:cs="Times New Roman"/>
          <w:b/>
          <w:bCs/>
        </w:rPr>
        <w:t>SUBSTANTIVE RULES APPLICABLE TO ELECTRIC SERVICE PROVIDERS</w:t>
      </w:r>
      <w:r w:rsidRPr="00E376AA">
        <w:rPr>
          <w:rFonts w:ascii="Times New Roman" w:hAnsi="Times New Roman" w:cs="Times New Roman"/>
        </w:rPr>
        <w:t>, Subchapter H, Division 2, (d), Cost Effectiveness Standard.</w:t>
      </w:r>
    </w:p>
    <w:p w14:paraId="2AF644EC" w14:textId="77777777" w:rsidR="0065364A" w:rsidRPr="00410FDF" w:rsidRDefault="0065364A" w:rsidP="0065364A">
      <w:pPr>
        <w:pStyle w:val="FootnoteText"/>
      </w:pPr>
    </w:p>
    <w:p w14:paraId="44BEEDBF" w14:textId="77777777" w:rsidR="0065364A" w:rsidRDefault="0065364A" w:rsidP="0065364A">
      <w:pPr>
        <w:pStyle w:val="FootnoteText"/>
      </w:pPr>
    </w:p>
  </w:footnote>
  <w:footnote w:id="14">
    <w:p w14:paraId="6BB39452" w14:textId="77777777" w:rsidR="0065364A" w:rsidRPr="00E376AA" w:rsidRDefault="0065364A" w:rsidP="0065364A">
      <w:pPr>
        <w:pStyle w:val="FootnoteText"/>
        <w:rPr>
          <w:rFonts w:ascii="Times New Roman" w:hAnsi="Times New Roman" w:cs="Times New Roman"/>
        </w:rPr>
      </w:pPr>
      <w:r w:rsidRPr="00E376AA">
        <w:rPr>
          <w:rStyle w:val="FootnoteReference"/>
          <w:rFonts w:ascii="Times New Roman" w:hAnsi="Times New Roman" w:cs="Times New Roman"/>
        </w:rPr>
        <w:footnoteRef/>
      </w:r>
      <w:r w:rsidRPr="00E376AA">
        <w:rPr>
          <w:rFonts w:ascii="Times New Roman" w:hAnsi="Times New Roman" w:cs="Times New Roman"/>
        </w:rPr>
        <w:t xml:space="preserve"> See the Table on page 10 of the December 8, 2023 “Report on the Capacity, Demand and Reserves (CDR) in the ERCOT Region, 2024-2033”. The amount of potential summer peak load reduction from load management and energy efficiency programs available in the ERCOT region is provided in rows 8 and 9 for the years 2024 to 2033.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9D455" w14:textId="77777777" w:rsidR="00006E5D" w:rsidRDefault="00006E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411DD3" w14:textId="011602ED" w:rsidR="00C452CA" w:rsidRDefault="007C1952">
    <w:pPr>
      <w:pStyle w:val="Header"/>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1D5CF4" w14:textId="77777777" w:rsidR="00006E5D" w:rsidRDefault="00006E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6676D4"/>
    <w:multiLevelType w:val="hybridMultilevel"/>
    <w:tmpl w:val="EEA6E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3B0263"/>
    <w:multiLevelType w:val="hybridMultilevel"/>
    <w:tmpl w:val="2B14F6F0"/>
    <w:lvl w:ilvl="0" w:tplc="04090003">
      <w:start w:val="1"/>
      <w:numFmt w:val="bullet"/>
      <w:lvlText w:val="o"/>
      <w:lvlJc w:val="left"/>
      <w:pPr>
        <w:ind w:left="1080" w:hanging="360"/>
      </w:pPr>
      <w:rPr>
        <w:rFonts w:ascii="Courier New" w:hAnsi="Courier New" w:cs="Courier New"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6B84800"/>
    <w:multiLevelType w:val="hybridMultilevel"/>
    <w:tmpl w:val="FB00E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392061"/>
    <w:multiLevelType w:val="hybridMultilevel"/>
    <w:tmpl w:val="B89A7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F25D1B"/>
    <w:multiLevelType w:val="hybridMultilevel"/>
    <w:tmpl w:val="4DDC5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292796"/>
    <w:multiLevelType w:val="hybridMultilevel"/>
    <w:tmpl w:val="BD8ACCB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C9191D"/>
    <w:multiLevelType w:val="hybridMultilevel"/>
    <w:tmpl w:val="A8486E84"/>
    <w:lvl w:ilvl="0" w:tplc="364A337E">
      <w:start w:val="1"/>
      <w:numFmt w:val="decimal"/>
      <w:lvlText w:val="%1."/>
      <w:lvlJc w:val="left"/>
      <w:pPr>
        <w:ind w:left="1080" w:hanging="360"/>
      </w:pPr>
      <w:rPr>
        <w:rFonts w:ascii="Times New Roman" w:hAnsi="Times New Roman" w:cs="Times New Roman"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3CFC549E"/>
    <w:multiLevelType w:val="hybridMultilevel"/>
    <w:tmpl w:val="D9F291A0"/>
    <w:lvl w:ilvl="0" w:tplc="0CD45B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AB330F"/>
    <w:multiLevelType w:val="hybridMultilevel"/>
    <w:tmpl w:val="12C69C3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5EE0D70"/>
    <w:multiLevelType w:val="hybridMultilevel"/>
    <w:tmpl w:val="4E72E2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683846"/>
    <w:multiLevelType w:val="hybridMultilevel"/>
    <w:tmpl w:val="72FED88A"/>
    <w:lvl w:ilvl="0" w:tplc="0409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4DB6178C"/>
    <w:multiLevelType w:val="hybridMultilevel"/>
    <w:tmpl w:val="B538ABD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ECD41BD"/>
    <w:multiLevelType w:val="hybridMultilevel"/>
    <w:tmpl w:val="DA6E34A6"/>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F8F383A"/>
    <w:multiLevelType w:val="hybridMultilevel"/>
    <w:tmpl w:val="9A0E920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1F4E96"/>
    <w:multiLevelType w:val="hybridMultilevel"/>
    <w:tmpl w:val="0F0C7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7557B1"/>
    <w:multiLevelType w:val="hybridMultilevel"/>
    <w:tmpl w:val="C15C9EA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6F014DC1"/>
    <w:multiLevelType w:val="hybridMultilevel"/>
    <w:tmpl w:val="4DF08190"/>
    <w:lvl w:ilvl="0" w:tplc="F0242DF4">
      <w:start w:val="1"/>
      <w:numFmt w:val="decimal"/>
      <w:lvlText w:val="%1."/>
      <w:lvlJc w:val="left"/>
      <w:pPr>
        <w:ind w:left="1080" w:hanging="360"/>
      </w:pPr>
      <w:rPr>
        <w:rFonts w:ascii="Times New Roman" w:hAnsi="Times New Roman" w:cs="Times New Roman" w:hint="default"/>
        <w:sz w:val="24"/>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06A5C90"/>
    <w:multiLevelType w:val="hybridMultilevel"/>
    <w:tmpl w:val="CEB69A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0A6485"/>
    <w:multiLevelType w:val="hybridMultilevel"/>
    <w:tmpl w:val="EBB2BDA6"/>
    <w:lvl w:ilvl="0" w:tplc="0409000F">
      <w:start w:val="1"/>
      <w:numFmt w:val="decimal"/>
      <w:lvlText w:val="%1."/>
      <w:lvlJc w:val="left"/>
      <w:pPr>
        <w:ind w:left="720" w:hanging="360"/>
      </w:pPr>
      <w:rPr>
        <w:rFonts w:hint="default"/>
      </w:rPr>
    </w:lvl>
    <w:lvl w:ilvl="1" w:tplc="93D4B412">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A54D60"/>
    <w:multiLevelType w:val="hybridMultilevel"/>
    <w:tmpl w:val="154AFC4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08300060">
    <w:abstractNumId w:val="7"/>
  </w:num>
  <w:num w:numId="2" w16cid:durableId="1527216165">
    <w:abstractNumId w:val="18"/>
  </w:num>
  <w:num w:numId="3" w16cid:durableId="876359928">
    <w:abstractNumId w:val="5"/>
  </w:num>
  <w:num w:numId="4" w16cid:durableId="1618412500">
    <w:abstractNumId w:val="8"/>
  </w:num>
  <w:num w:numId="5" w16cid:durableId="1261454618">
    <w:abstractNumId w:val="14"/>
  </w:num>
  <w:num w:numId="6" w16cid:durableId="1262881169">
    <w:abstractNumId w:val="0"/>
  </w:num>
  <w:num w:numId="7" w16cid:durableId="1378776834">
    <w:abstractNumId w:val="17"/>
  </w:num>
  <w:num w:numId="8" w16cid:durableId="491869053">
    <w:abstractNumId w:val="3"/>
  </w:num>
  <w:num w:numId="9" w16cid:durableId="27879038">
    <w:abstractNumId w:val="13"/>
  </w:num>
  <w:num w:numId="10" w16cid:durableId="1606428107">
    <w:abstractNumId w:val="4"/>
  </w:num>
  <w:num w:numId="11" w16cid:durableId="1962034122">
    <w:abstractNumId w:val="15"/>
  </w:num>
  <w:num w:numId="12" w16cid:durableId="1095711191">
    <w:abstractNumId w:val="12"/>
  </w:num>
  <w:num w:numId="13" w16cid:durableId="512649022">
    <w:abstractNumId w:val="16"/>
  </w:num>
  <w:num w:numId="14" w16cid:durableId="591353230">
    <w:abstractNumId w:val="6"/>
  </w:num>
  <w:num w:numId="15" w16cid:durableId="854223532">
    <w:abstractNumId w:val="2"/>
  </w:num>
  <w:num w:numId="16" w16cid:durableId="259989960">
    <w:abstractNumId w:val="10"/>
  </w:num>
  <w:num w:numId="17" w16cid:durableId="649333687">
    <w:abstractNumId w:val="19"/>
  </w:num>
  <w:num w:numId="18" w16cid:durableId="781994153">
    <w:abstractNumId w:val="9"/>
  </w:num>
  <w:num w:numId="19" w16cid:durableId="427506296">
    <w:abstractNumId w:val="11"/>
  </w:num>
  <w:num w:numId="20" w16cid:durableId="8132597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E2D"/>
    <w:rsid w:val="00000985"/>
    <w:rsid w:val="00002150"/>
    <w:rsid w:val="00004516"/>
    <w:rsid w:val="00006E5D"/>
    <w:rsid w:val="00014883"/>
    <w:rsid w:val="00022077"/>
    <w:rsid w:val="00031E8C"/>
    <w:rsid w:val="00034F4C"/>
    <w:rsid w:val="0003582F"/>
    <w:rsid w:val="000363B3"/>
    <w:rsid w:val="00037386"/>
    <w:rsid w:val="00042BBD"/>
    <w:rsid w:val="00042CAA"/>
    <w:rsid w:val="000644BC"/>
    <w:rsid w:val="00071A63"/>
    <w:rsid w:val="00073F68"/>
    <w:rsid w:val="00074FF1"/>
    <w:rsid w:val="00080B25"/>
    <w:rsid w:val="00080F81"/>
    <w:rsid w:val="00082CA7"/>
    <w:rsid w:val="00093636"/>
    <w:rsid w:val="000939E5"/>
    <w:rsid w:val="00097A98"/>
    <w:rsid w:val="000A3F8F"/>
    <w:rsid w:val="000A64B2"/>
    <w:rsid w:val="000B6019"/>
    <w:rsid w:val="000C0D1A"/>
    <w:rsid w:val="000C775B"/>
    <w:rsid w:val="000D037E"/>
    <w:rsid w:val="000D1011"/>
    <w:rsid w:val="000D17E4"/>
    <w:rsid w:val="000D1B46"/>
    <w:rsid w:val="000D2F6A"/>
    <w:rsid w:val="000D3029"/>
    <w:rsid w:val="000D30B4"/>
    <w:rsid w:val="000D6698"/>
    <w:rsid w:val="000E24D0"/>
    <w:rsid w:val="000E70FB"/>
    <w:rsid w:val="000E755C"/>
    <w:rsid w:val="000F40B6"/>
    <w:rsid w:val="000F4E18"/>
    <w:rsid w:val="000F6BF1"/>
    <w:rsid w:val="000F6F40"/>
    <w:rsid w:val="00101149"/>
    <w:rsid w:val="00102A22"/>
    <w:rsid w:val="00102EDA"/>
    <w:rsid w:val="00103879"/>
    <w:rsid w:val="00105B47"/>
    <w:rsid w:val="001135BF"/>
    <w:rsid w:val="00114FB7"/>
    <w:rsid w:val="00115065"/>
    <w:rsid w:val="00116F19"/>
    <w:rsid w:val="00117BC4"/>
    <w:rsid w:val="0012483E"/>
    <w:rsid w:val="00124873"/>
    <w:rsid w:val="00125397"/>
    <w:rsid w:val="0012654B"/>
    <w:rsid w:val="001429F2"/>
    <w:rsid w:val="00154BAD"/>
    <w:rsid w:val="00162E7D"/>
    <w:rsid w:val="00166D12"/>
    <w:rsid w:val="001705D8"/>
    <w:rsid w:val="001766AF"/>
    <w:rsid w:val="00177C1A"/>
    <w:rsid w:val="00184D4D"/>
    <w:rsid w:val="00197EEE"/>
    <w:rsid w:val="001A2190"/>
    <w:rsid w:val="001A47BE"/>
    <w:rsid w:val="001A66F2"/>
    <w:rsid w:val="001B1332"/>
    <w:rsid w:val="001B35F0"/>
    <w:rsid w:val="001B62BF"/>
    <w:rsid w:val="001C16FC"/>
    <w:rsid w:val="001C6C34"/>
    <w:rsid w:val="001D30B6"/>
    <w:rsid w:val="001D52AC"/>
    <w:rsid w:val="001D6760"/>
    <w:rsid w:val="001E201B"/>
    <w:rsid w:val="001E41A2"/>
    <w:rsid w:val="001E45D6"/>
    <w:rsid w:val="001E68EB"/>
    <w:rsid w:val="001E71E3"/>
    <w:rsid w:val="001F02A4"/>
    <w:rsid w:val="001F4E96"/>
    <w:rsid w:val="001F656E"/>
    <w:rsid w:val="001F6ED6"/>
    <w:rsid w:val="00203953"/>
    <w:rsid w:val="002045C4"/>
    <w:rsid w:val="00211364"/>
    <w:rsid w:val="00211B4F"/>
    <w:rsid w:val="00212B13"/>
    <w:rsid w:val="00213C45"/>
    <w:rsid w:val="0022407A"/>
    <w:rsid w:val="00233C48"/>
    <w:rsid w:val="00236203"/>
    <w:rsid w:val="00237C8B"/>
    <w:rsid w:val="002400A3"/>
    <w:rsid w:val="002443B1"/>
    <w:rsid w:val="00244AEE"/>
    <w:rsid w:val="00245AAD"/>
    <w:rsid w:val="00250894"/>
    <w:rsid w:val="00252B8B"/>
    <w:rsid w:val="00257711"/>
    <w:rsid w:val="002601B1"/>
    <w:rsid w:val="00261A49"/>
    <w:rsid w:val="0026461E"/>
    <w:rsid w:val="00270FB5"/>
    <w:rsid w:val="00276C42"/>
    <w:rsid w:val="00276F49"/>
    <w:rsid w:val="00277D9F"/>
    <w:rsid w:val="00280B41"/>
    <w:rsid w:val="002831E3"/>
    <w:rsid w:val="002910BA"/>
    <w:rsid w:val="00291BE8"/>
    <w:rsid w:val="00292124"/>
    <w:rsid w:val="00292758"/>
    <w:rsid w:val="00292B30"/>
    <w:rsid w:val="002A4AF0"/>
    <w:rsid w:val="002B1F58"/>
    <w:rsid w:val="002B6747"/>
    <w:rsid w:val="002B6E5B"/>
    <w:rsid w:val="002C1278"/>
    <w:rsid w:val="002C5DC8"/>
    <w:rsid w:val="002C5F4D"/>
    <w:rsid w:val="002D0C7E"/>
    <w:rsid w:val="002D2347"/>
    <w:rsid w:val="002D7A5C"/>
    <w:rsid w:val="002E0ECC"/>
    <w:rsid w:val="002E2B8A"/>
    <w:rsid w:val="002F501A"/>
    <w:rsid w:val="002F52E4"/>
    <w:rsid w:val="002F6001"/>
    <w:rsid w:val="002F6169"/>
    <w:rsid w:val="002F7F0F"/>
    <w:rsid w:val="00302C64"/>
    <w:rsid w:val="00304954"/>
    <w:rsid w:val="003058F2"/>
    <w:rsid w:val="00306CB2"/>
    <w:rsid w:val="00312303"/>
    <w:rsid w:val="00312819"/>
    <w:rsid w:val="003139C4"/>
    <w:rsid w:val="00313A65"/>
    <w:rsid w:val="003249E6"/>
    <w:rsid w:val="00325DE3"/>
    <w:rsid w:val="00327865"/>
    <w:rsid w:val="00330D4F"/>
    <w:rsid w:val="003339CA"/>
    <w:rsid w:val="00333C78"/>
    <w:rsid w:val="00335BD2"/>
    <w:rsid w:val="00337831"/>
    <w:rsid w:val="00344828"/>
    <w:rsid w:val="00351A7E"/>
    <w:rsid w:val="00361F4D"/>
    <w:rsid w:val="00367790"/>
    <w:rsid w:val="0037150A"/>
    <w:rsid w:val="0037574A"/>
    <w:rsid w:val="00375E85"/>
    <w:rsid w:val="00376A3B"/>
    <w:rsid w:val="00377082"/>
    <w:rsid w:val="0038030A"/>
    <w:rsid w:val="003814D4"/>
    <w:rsid w:val="00390543"/>
    <w:rsid w:val="00390E74"/>
    <w:rsid w:val="00396691"/>
    <w:rsid w:val="003A7D7A"/>
    <w:rsid w:val="003B0C91"/>
    <w:rsid w:val="003B4881"/>
    <w:rsid w:val="003C166B"/>
    <w:rsid w:val="003C6602"/>
    <w:rsid w:val="003C7E75"/>
    <w:rsid w:val="003C7F34"/>
    <w:rsid w:val="003D0EEE"/>
    <w:rsid w:val="003D1704"/>
    <w:rsid w:val="003D5BE5"/>
    <w:rsid w:val="003D5D86"/>
    <w:rsid w:val="003D7D9F"/>
    <w:rsid w:val="003E0205"/>
    <w:rsid w:val="003E4EBA"/>
    <w:rsid w:val="003E69C2"/>
    <w:rsid w:val="003E7553"/>
    <w:rsid w:val="003F01E4"/>
    <w:rsid w:val="004010D4"/>
    <w:rsid w:val="00401687"/>
    <w:rsid w:val="0040348A"/>
    <w:rsid w:val="00407DC7"/>
    <w:rsid w:val="004102D5"/>
    <w:rsid w:val="00410FDF"/>
    <w:rsid w:val="00410FF4"/>
    <w:rsid w:val="004202EA"/>
    <w:rsid w:val="00421D9B"/>
    <w:rsid w:val="004249DA"/>
    <w:rsid w:val="00433AB4"/>
    <w:rsid w:val="00434785"/>
    <w:rsid w:val="0043590A"/>
    <w:rsid w:val="00435ED9"/>
    <w:rsid w:val="00446D3E"/>
    <w:rsid w:val="00446E52"/>
    <w:rsid w:val="00457EED"/>
    <w:rsid w:val="00460455"/>
    <w:rsid w:val="004609CF"/>
    <w:rsid w:val="00466603"/>
    <w:rsid w:val="00472CD2"/>
    <w:rsid w:val="00474986"/>
    <w:rsid w:val="0047594C"/>
    <w:rsid w:val="00480711"/>
    <w:rsid w:val="00480B2B"/>
    <w:rsid w:val="004858C1"/>
    <w:rsid w:val="00490460"/>
    <w:rsid w:val="00490889"/>
    <w:rsid w:val="00492C2A"/>
    <w:rsid w:val="0049453A"/>
    <w:rsid w:val="00497D93"/>
    <w:rsid w:val="004A1C2C"/>
    <w:rsid w:val="004A4082"/>
    <w:rsid w:val="004B7E13"/>
    <w:rsid w:val="004C5A7C"/>
    <w:rsid w:val="004E54F7"/>
    <w:rsid w:val="004F14FE"/>
    <w:rsid w:val="00504F9A"/>
    <w:rsid w:val="00505D91"/>
    <w:rsid w:val="005069AB"/>
    <w:rsid w:val="005109A3"/>
    <w:rsid w:val="005115D7"/>
    <w:rsid w:val="0051583B"/>
    <w:rsid w:val="005172A3"/>
    <w:rsid w:val="005219F8"/>
    <w:rsid w:val="00524BCE"/>
    <w:rsid w:val="00525B78"/>
    <w:rsid w:val="00526036"/>
    <w:rsid w:val="00526757"/>
    <w:rsid w:val="0053323D"/>
    <w:rsid w:val="00535CF7"/>
    <w:rsid w:val="00537A46"/>
    <w:rsid w:val="00542267"/>
    <w:rsid w:val="00543024"/>
    <w:rsid w:val="00543C45"/>
    <w:rsid w:val="00546CBB"/>
    <w:rsid w:val="00551D07"/>
    <w:rsid w:val="00555DF2"/>
    <w:rsid w:val="00560BE8"/>
    <w:rsid w:val="00562D80"/>
    <w:rsid w:val="00565C64"/>
    <w:rsid w:val="0057018D"/>
    <w:rsid w:val="00570FFF"/>
    <w:rsid w:val="00572C5A"/>
    <w:rsid w:val="00575380"/>
    <w:rsid w:val="00582813"/>
    <w:rsid w:val="005903A5"/>
    <w:rsid w:val="00592A40"/>
    <w:rsid w:val="0059301D"/>
    <w:rsid w:val="00596318"/>
    <w:rsid w:val="005A0E3E"/>
    <w:rsid w:val="005B0455"/>
    <w:rsid w:val="005B2441"/>
    <w:rsid w:val="005B5947"/>
    <w:rsid w:val="005C0EDA"/>
    <w:rsid w:val="005C2178"/>
    <w:rsid w:val="005C521E"/>
    <w:rsid w:val="005C7AEC"/>
    <w:rsid w:val="005D174D"/>
    <w:rsid w:val="005D65CE"/>
    <w:rsid w:val="005E384F"/>
    <w:rsid w:val="005E5FD1"/>
    <w:rsid w:val="005F0EEF"/>
    <w:rsid w:val="005F6104"/>
    <w:rsid w:val="005F6358"/>
    <w:rsid w:val="00605B7E"/>
    <w:rsid w:val="00605C2F"/>
    <w:rsid w:val="00605C76"/>
    <w:rsid w:val="00610981"/>
    <w:rsid w:val="00612DF2"/>
    <w:rsid w:val="00616E66"/>
    <w:rsid w:val="006225BB"/>
    <w:rsid w:val="0063166A"/>
    <w:rsid w:val="00631B66"/>
    <w:rsid w:val="00633D72"/>
    <w:rsid w:val="006341CA"/>
    <w:rsid w:val="006411AC"/>
    <w:rsid w:val="00646643"/>
    <w:rsid w:val="00651F9C"/>
    <w:rsid w:val="0065364A"/>
    <w:rsid w:val="00653843"/>
    <w:rsid w:val="00654484"/>
    <w:rsid w:val="006556CB"/>
    <w:rsid w:val="0066000A"/>
    <w:rsid w:val="006608EE"/>
    <w:rsid w:val="00664F0C"/>
    <w:rsid w:val="006715B7"/>
    <w:rsid w:val="00671913"/>
    <w:rsid w:val="00671B6D"/>
    <w:rsid w:val="00675280"/>
    <w:rsid w:val="00676F0D"/>
    <w:rsid w:val="00677F07"/>
    <w:rsid w:val="00681555"/>
    <w:rsid w:val="00682106"/>
    <w:rsid w:val="00684193"/>
    <w:rsid w:val="0068468C"/>
    <w:rsid w:val="00686059"/>
    <w:rsid w:val="00693AC0"/>
    <w:rsid w:val="006A32FF"/>
    <w:rsid w:val="006A3C90"/>
    <w:rsid w:val="006B3D28"/>
    <w:rsid w:val="006C7985"/>
    <w:rsid w:val="006D31F3"/>
    <w:rsid w:val="006D49BD"/>
    <w:rsid w:val="006D60BD"/>
    <w:rsid w:val="006D6C4E"/>
    <w:rsid w:val="006E1E63"/>
    <w:rsid w:val="006F69AC"/>
    <w:rsid w:val="00700C15"/>
    <w:rsid w:val="00704744"/>
    <w:rsid w:val="00711722"/>
    <w:rsid w:val="00714E1C"/>
    <w:rsid w:val="00716B9B"/>
    <w:rsid w:val="00720349"/>
    <w:rsid w:val="00723B40"/>
    <w:rsid w:val="00723D4F"/>
    <w:rsid w:val="00732C96"/>
    <w:rsid w:val="00735D57"/>
    <w:rsid w:val="00737A4A"/>
    <w:rsid w:val="00737DEF"/>
    <w:rsid w:val="007406B8"/>
    <w:rsid w:val="0074185E"/>
    <w:rsid w:val="00742903"/>
    <w:rsid w:val="0074704B"/>
    <w:rsid w:val="007514B4"/>
    <w:rsid w:val="0075200B"/>
    <w:rsid w:val="007576F5"/>
    <w:rsid w:val="0076039B"/>
    <w:rsid w:val="00770F12"/>
    <w:rsid w:val="00773BFA"/>
    <w:rsid w:val="00773F6C"/>
    <w:rsid w:val="0077545F"/>
    <w:rsid w:val="0077648C"/>
    <w:rsid w:val="00791FCE"/>
    <w:rsid w:val="007955B2"/>
    <w:rsid w:val="007A159A"/>
    <w:rsid w:val="007A6D80"/>
    <w:rsid w:val="007A7389"/>
    <w:rsid w:val="007A7CEC"/>
    <w:rsid w:val="007B21EB"/>
    <w:rsid w:val="007B263A"/>
    <w:rsid w:val="007B4564"/>
    <w:rsid w:val="007C1952"/>
    <w:rsid w:val="007C78DB"/>
    <w:rsid w:val="007D12EC"/>
    <w:rsid w:val="007D29B9"/>
    <w:rsid w:val="00801EAB"/>
    <w:rsid w:val="008031F3"/>
    <w:rsid w:val="00805402"/>
    <w:rsid w:val="00810258"/>
    <w:rsid w:val="008108B4"/>
    <w:rsid w:val="0081221C"/>
    <w:rsid w:val="00816F57"/>
    <w:rsid w:val="00820C1A"/>
    <w:rsid w:val="008342D8"/>
    <w:rsid w:val="008400E0"/>
    <w:rsid w:val="00840563"/>
    <w:rsid w:val="008478C7"/>
    <w:rsid w:val="00850A52"/>
    <w:rsid w:val="008515E0"/>
    <w:rsid w:val="00854C67"/>
    <w:rsid w:val="00862264"/>
    <w:rsid w:val="00862721"/>
    <w:rsid w:val="008638AA"/>
    <w:rsid w:val="00876A89"/>
    <w:rsid w:val="008773FF"/>
    <w:rsid w:val="00893D95"/>
    <w:rsid w:val="008A00D8"/>
    <w:rsid w:val="008A0AC8"/>
    <w:rsid w:val="008A1BC0"/>
    <w:rsid w:val="008A5055"/>
    <w:rsid w:val="008A5DD0"/>
    <w:rsid w:val="008A64AB"/>
    <w:rsid w:val="008B4FDE"/>
    <w:rsid w:val="008C085A"/>
    <w:rsid w:val="008C2A2F"/>
    <w:rsid w:val="008C377D"/>
    <w:rsid w:val="008C6016"/>
    <w:rsid w:val="008C68B5"/>
    <w:rsid w:val="008D0ABC"/>
    <w:rsid w:val="008D3D72"/>
    <w:rsid w:val="008D3E26"/>
    <w:rsid w:val="008D4FB9"/>
    <w:rsid w:val="008D6D80"/>
    <w:rsid w:val="008E03E7"/>
    <w:rsid w:val="008E2017"/>
    <w:rsid w:val="008E378A"/>
    <w:rsid w:val="008F1B05"/>
    <w:rsid w:val="008F325A"/>
    <w:rsid w:val="008F3BB0"/>
    <w:rsid w:val="008F6F5C"/>
    <w:rsid w:val="008F7BA8"/>
    <w:rsid w:val="00907B32"/>
    <w:rsid w:val="00910D04"/>
    <w:rsid w:val="00910F7B"/>
    <w:rsid w:val="00914602"/>
    <w:rsid w:val="00920C44"/>
    <w:rsid w:val="00920CFB"/>
    <w:rsid w:val="009226F0"/>
    <w:rsid w:val="00930B94"/>
    <w:rsid w:val="00941A47"/>
    <w:rsid w:val="00952D20"/>
    <w:rsid w:val="009552F7"/>
    <w:rsid w:val="00957F66"/>
    <w:rsid w:val="00961739"/>
    <w:rsid w:val="0096371E"/>
    <w:rsid w:val="00964577"/>
    <w:rsid w:val="00966061"/>
    <w:rsid w:val="009679A4"/>
    <w:rsid w:val="00971EF4"/>
    <w:rsid w:val="00973043"/>
    <w:rsid w:val="00974827"/>
    <w:rsid w:val="00974894"/>
    <w:rsid w:val="00975A1D"/>
    <w:rsid w:val="0097678A"/>
    <w:rsid w:val="0097731C"/>
    <w:rsid w:val="00980C19"/>
    <w:rsid w:val="0098340E"/>
    <w:rsid w:val="00984BF6"/>
    <w:rsid w:val="00991820"/>
    <w:rsid w:val="00994D23"/>
    <w:rsid w:val="00995466"/>
    <w:rsid w:val="009A086A"/>
    <w:rsid w:val="009A7FAE"/>
    <w:rsid w:val="009B04D2"/>
    <w:rsid w:val="009B3CF5"/>
    <w:rsid w:val="009B40DC"/>
    <w:rsid w:val="009B4320"/>
    <w:rsid w:val="009B706E"/>
    <w:rsid w:val="009C2A75"/>
    <w:rsid w:val="009C2EAE"/>
    <w:rsid w:val="009C6DE2"/>
    <w:rsid w:val="009D03D8"/>
    <w:rsid w:val="009D0EED"/>
    <w:rsid w:val="009D292F"/>
    <w:rsid w:val="009E1A74"/>
    <w:rsid w:val="009E4D91"/>
    <w:rsid w:val="009F2266"/>
    <w:rsid w:val="009F536F"/>
    <w:rsid w:val="00A00810"/>
    <w:rsid w:val="00A0201F"/>
    <w:rsid w:val="00A02280"/>
    <w:rsid w:val="00A023EE"/>
    <w:rsid w:val="00A047E5"/>
    <w:rsid w:val="00A06817"/>
    <w:rsid w:val="00A068FE"/>
    <w:rsid w:val="00A06C6F"/>
    <w:rsid w:val="00A07CB3"/>
    <w:rsid w:val="00A11F90"/>
    <w:rsid w:val="00A12DF8"/>
    <w:rsid w:val="00A12F1D"/>
    <w:rsid w:val="00A16939"/>
    <w:rsid w:val="00A17EA4"/>
    <w:rsid w:val="00A22B0A"/>
    <w:rsid w:val="00A23A6D"/>
    <w:rsid w:val="00A301A0"/>
    <w:rsid w:val="00A327D1"/>
    <w:rsid w:val="00A32E1D"/>
    <w:rsid w:val="00A336B1"/>
    <w:rsid w:val="00A369DF"/>
    <w:rsid w:val="00A3787F"/>
    <w:rsid w:val="00A430AB"/>
    <w:rsid w:val="00A441F6"/>
    <w:rsid w:val="00A4510F"/>
    <w:rsid w:val="00A5260A"/>
    <w:rsid w:val="00A54472"/>
    <w:rsid w:val="00A6392C"/>
    <w:rsid w:val="00A85302"/>
    <w:rsid w:val="00A902EA"/>
    <w:rsid w:val="00A908C8"/>
    <w:rsid w:val="00A93FA3"/>
    <w:rsid w:val="00A96599"/>
    <w:rsid w:val="00A97793"/>
    <w:rsid w:val="00AA0BD5"/>
    <w:rsid w:val="00AA1ACB"/>
    <w:rsid w:val="00AA2B3F"/>
    <w:rsid w:val="00AA3577"/>
    <w:rsid w:val="00AA5549"/>
    <w:rsid w:val="00AA5E7E"/>
    <w:rsid w:val="00AA78BF"/>
    <w:rsid w:val="00AB1A18"/>
    <w:rsid w:val="00AB1A3F"/>
    <w:rsid w:val="00AC320F"/>
    <w:rsid w:val="00AD0EAA"/>
    <w:rsid w:val="00AD1810"/>
    <w:rsid w:val="00AD39C2"/>
    <w:rsid w:val="00AD518A"/>
    <w:rsid w:val="00AE0A9D"/>
    <w:rsid w:val="00AE2AE6"/>
    <w:rsid w:val="00AE2D36"/>
    <w:rsid w:val="00AE6445"/>
    <w:rsid w:val="00AF300E"/>
    <w:rsid w:val="00B0031E"/>
    <w:rsid w:val="00B03A9B"/>
    <w:rsid w:val="00B055E6"/>
    <w:rsid w:val="00B120C1"/>
    <w:rsid w:val="00B1242A"/>
    <w:rsid w:val="00B12542"/>
    <w:rsid w:val="00B12963"/>
    <w:rsid w:val="00B176C1"/>
    <w:rsid w:val="00B2639A"/>
    <w:rsid w:val="00B27EE7"/>
    <w:rsid w:val="00B309ED"/>
    <w:rsid w:val="00B33E2D"/>
    <w:rsid w:val="00B34106"/>
    <w:rsid w:val="00B3607C"/>
    <w:rsid w:val="00B37510"/>
    <w:rsid w:val="00B41411"/>
    <w:rsid w:val="00B51285"/>
    <w:rsid w:val="00B51C00"/>
    <w:rsid w:val="00B64855"/>
    <w:rsid w:val="00B70542"/>
    <w:rsid w:val="00B715DE"/>
    <w:rsid w:val="00B71D05"/>
    <w:rsid w:val="00B75136"/>
    <w:rsid w:val="00B76C9A"/>
    <w:rsid w:val="00B80BB4"/>
    <w:rsid w:val="00B84E42"/>
    <w:rsid w:val="00B85008"/>
    <w:rsid w:val="00B930C6"/>
    <w:rsid w:val="00B9471E"/>
    <w:rsid w:val="00BA0E78"/>
    <w:rsid w:val="00BA16CF"/>
    <w:rsid w:val="00BA65A9"/>
    <w:rsid w:val="00BA7008"/>
    <w:rsid w:val="00BB3364"/>
    <w:rsid w:val="00BC4114"/>
    <w:rsid w:val="00BD32D4"/>
    <w:rsid w:val="00BD5160"/>
    <w:rsid w:val="00BD77B0"/>
    <w:rsid w:val="00BE364C"/>
    <w:rsid w:val="00BE52EE"/>
    <w:rsid w:val="00BF06D3"/>
    <w:rsid w:val="00BF5684"/>
    <w:rsid w:val="00C06603"/>
    <w:rsid w:val="00C07A93"/>
    <w:rsid w:val="00C133D2"/>
    <w:rsid w:val="00C21373"/>
    <w:rsid w:val="00C25207"/>
    <w:rsid w:val="00C32A5B"/>
    <w:rsid w:val="00C34311"/>
    <w:rsid w:val="00C37164"/>
    <w:rsid w:val="00C40A0E"/>
    <w:rsid w:val="00C452CA"/>
    <w:rsid w:val="00C51CC6"/>
    <w:rsid w:val="00C60F80"/>
    <w:rsid w:val="00C62D42"/>
    <w:rsid w:val="00C63F57"/>
    <w:rsid w:val="00C64218"/>
    <w:rsid w:val="00C67117"/>
    <w:rsid w:val="00C73971"/>
    <w:rsid w:val="00C76AC3"/>
    <w:rsid w:val="00C80B33"/>
    <w:rsid w:val="00C91692"/>
    <w:rsid w:val="00C94A88"/>
    <w:rsid w:val="00C94C19"/>
    <w:rsid w:val="00C96CAE"/>
    <w:rsid w:val="00CA1D2B"/>
    <w:rsid w:val="00CA40FA"/>
    <w:rsid w:val="00CA49D6"/>
    <w:rsid w:val="00CB08B4"/>
    <w:rsid w:val="00CB10D4"/>
    <w:rsid w:val="00CB327B"/>
    <w:rsid w:val="00CB53EE"/>
    <w:rsid w:val="00CB6C93"/>
    <w:rsid w:val="00CB7DD8"/>
    <w:rsid w:val="00CC045C"/>
    <w:rsid w:val="00CC5CFE"/>
    <w:rsid w:val="00CC7B51"/>
    <w:rsid w:val="00CC7FB6"/>
    <w:rsid w:val="00CD1E2F"/>
    <w:rsid w:val="00CE16C2"/>
    <w:rsid w:val="00CE3B5A"/>
    <w:rsid w:val="00CE53C1"/>
    <w:rsid w:val="00CE5A5E"/>
    <w:rsid w:val="00CF2100"/>
    <w:rsid w:val="00CF26AC"/>
    <w:rsid w:val="00CF2DC0"/>
    <w:rsid w:val="00CF3FF8"/>
    <w:rsid w:val="00CF4B4E"/>
    <w:rsid w:val="00D0177F"/>
    <w:rsid w:val="00D03963"/>
    <w:rsid w:val="00D07253"/>
    <w:rsid w:val="00D124DC"/>
    <w:rsid w:val="00D1447E"/>
    <w:rsid w:val="00D2304A"/>
    <w:rsid w:val="00D241DF"/>
    <w:rsid w:val="00D27E8D"/>
    <w:rsid w:val="00D33A5B"/>
    <w:rsid w:val="00D346C6"/>
    <w:rsid w:val="00D3611D"/>
    <w:rsid w:val="00D364E7"/>
    <w:rsid w:val="00D37FCB"/>
    <w:rsid w:val="00D403F1"/>
    <w:rsid w:val="00D44447"/>
    <w:rsid w:val="00D70F5F"/>
    <w:rsid w:val="00D7464D"/>
    <w:rsid w:val="00D759A0"/>
    <w:rsid w:val="00D837B4"/>
    <w:rsid w:val="00D85809"/>
    <w:rsid w:val="00D93841"/>
    <w:rsid w:val="00DA2A57"/>
    <w:rsid w:val="00DA68ED"/>
    <w:rsid w:val="00DB2DED"/>
    <w:rsid w:val="00DB3CD6"/>
    <w:rsid w:val="00DB4DAD"/>
    <w:rsid w:val="00DB574B"/>
    <w:rsid w:val="00DB6DD3"/>
    <w:rsid w:val="00DB71C9"/>
    <w:rsid w:val="00DC4107"/>
    <w:rsid w:val="00DC41C8"/>
    <w:rsid w:val="00DC5D97"/>
    <w:rsid w:val="00DC629E"/>
    <w:rsid w:val="00DC79D8"/>
    <w:rsid w:val="00DD1C5E"/>
    <w:rsid w:val="00DD6130"/>
    <w:rsid w:val="00DE1908"/>
    <w:rsid w:val="00DE5DD1"/>
    <w:rsid w:val="00DF1F47"/>
    <w:rsid w:val="00DF3D47"/>
    <w:rsid w:val="00E000F9"/>
    <w:rsid w:val="00E00FE8"/>
    <w:rsid w:val="00E04591"/>
    <w:rsid w:val="00E049B1"/>
    <w:rsid w:val="00E121FE"/>
    <w:rsid w:val="00E206A0"/>
    <w:rsid w:val="00E26C74"/>
    <w:rsid w:val="00E30583"/>
    <w:rsid w:val="00E3289E"/>
    <w:rsid w:val="00E3691C"/>
    <w:rsid w:val="00E376AA"/>
    <w:rsid w:val="00E43A7D"/>
    <w:rsid w:val="00E462FE"/>
    <w:rsid w:val="00E521FD"/>
    <w:rsid w:val="00E5259A"/>
    <w:rsid w:val="00E54683"/>
    <w:rsid w:val="00E56228"/>
    <w:rsid w:val="00E5709C"/>
    <w:rsid w:val="00E62751"/>
    <w:rsid w:val="00E6480E"/>
    <w:rsid w:val="00E6699F"/>
    <w:rsid w:val="00E7050A"/>
    <w:rsid w:val="00E7224E"/>
    <w:rsid w:val="00E835A4"/>
    <w:rsid w:val="00E900C4"/>
    <w:rsid w:val="00E937E2"/>
    <w:rsid w:val="00E94053"/>
    <w:rsid w:val="00E95682"/>
    <w:rsid w:val="00E95920"/>
    <w:rsid w:val="00E9637E"/>
    <w:rsid w:val="00E976CF"/>
    <w:rsid w:val="00EA0518"/>
    <w:rsid w:val="00EA056D"/>
    <w:rsid w:val="00EB3D57"/>
    <w:rsid w:val="00EB3E82"/>
    <w:rsid w:val="00EC06CF"/>
    <w:rsid w:val="00EC51DB"/>
    <w:rsid w:val="00EC5A86"/>
    <w:rsid w:val="00EC71D5"/>
    <w:rsid w:val="00ED0A08"/>
    <w:rsid w:val="00ED36B8"/>
    <w:rsid w:val="00ED746C"/>
    <w:rsid w:val="00EE02B7"/>
    <w:rsid w:val="00EE2553"/>
    <w:rsid w:val="00EE55BE"/>
    <w:rsid w:val="00EE737F"/>
    <w:rsid w:val="00EF5462"/>
    <w:rsid w:val="00F022FD"/>
    <w:rsid w:val="00F05B0D"/>
    <w:rsid w:val="00F10E44"/>
    <w:rsid w:val="00F11797"/>
    <w:rsid w:val="00F117D6"/>
    <w:rsid w:val="00F20599"/>
    <w:rsid w:val="00F21965"/>
    <w:rsid w:val="00F2597A"/>
    <w:rsid w:val="00F302F8"/>
    <w:rsid w:val="00F33235"/>
    <w:rsid w:val="00F42571"/>
    <w:rsid w:val="00F42F33"/>
    <w:rsid w:val="00F51085"/>
    <w:rsid w:val="00F53730"/>
    <w:rsid w:val="00F56BC5"/>
    <w:rsid w:val="00F60993"/>
    <w:rsid w:val="00F64F8E"/>
    <w:rsid w:val="00F70EC4"/>
    <w:rsid w:val="00F84EBF"/>
    <w:rsid w:val="00F8604A"/>
    <w:rsid w:val="00F9144B"/>
    <w:rsid w:val="00F9373E"/>
    <w:rsid w:val="00FA26CC"/>
    <w:rsid w:val="00FA769F"/>
    <w:rsid w:val="00FA77DD"/>
    <w:rsid w:val="00FB08A6"/>
    <w:rsid w:val="00FB3374"/>
    <w:rsid w:val="00FB3890"/>
    <w:rsid w:val="00FB3A67"/>
    <w:rsid w:val="00FB6E30"/>
    <w:rsid w:val="00FB6FCC"/>
    <w:rsid w:val="00FB774E"/>
    <w:rsid w:val="00FC6F89"/>
    <w:rsid w:val="00FD1C45"/>
    <w:rsid w:val="00FD3E5E"/>
    <w:rsid w:val="00FD4BDA"/>
    <w:rsid w:val="00FE3DA6"/>
    <w:rsid w:val="00FF0B92"/>
    <w:rsid w:val="00FF0BDB"/>
    <w:rsid w:val="00FF296F"/>
    <w:rsid w:val="00FF68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04C76E"/>
  <w15:chartTrackingRefBased/>
  <w15:docId w15:val="{88C26FD4-8138-4009-8E6E-B293EF413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sz w:val="24"/>
        <w:szCs w:val="28"/>
        <w:lang w:val="en-US" w:eastAsia="en-US" w:bidi="ar-SA"/>
        <w14:ligatures w14:val="historicalDiscretion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1ACB"/>
    <w:pPr>
      <w:spacing w:after="0" w:line="240" w:lineRule="auto"/>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33E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452CA"/>
    <w:pPr>
      <w:tabs>
        <w:tab w:val="center" w:pos="4680"/>
        <w:tab w:val="right" w:pos="9360"/>
      </w:tabs>
    </w:pPr>
  </w:style>
  <w:style w:type="character" w:customStyle="1" w:styleId="HeaderChar">
    <w:name w:val="Header Char"/>
    <w:basedOn w:val="DefaultParagraphFont"/>
    <w:link w:val="Header"/>
    <w:uiPriority w:val="99"/>
    <w:rsid w:val="00C452CA"/>
  </w:style>
  <w:style w:type="paragraph" w:styleId="Footer">
    <w:name w:val="footer"/>
    <w:basedOn w:val="Normal"/>
    <w:link w:val="FooterChar"/>
    <w:uiPriority w:val="99"/>
    <w:unhideWhenUsed/>
    <w:rsid w:val="00C452CA"/>
    <w:pPr>
      <w:tabs>
        <w:tab w:val="center" w:pos="4680"/>
        <w:tab w:val="right" w:pos="9360"/>
      </w:tabs>
    </w:pPr>
  </w:style>
  <w:style w:type="character" w:customStyle="1" w:styleId="FooterChar">
    <w:name w:val="Footer Char"/>
    <w:basedOn w:val="DefaultParagraphFont"/>
    <w:link w:val="Footer"/>
    <w:uiPriority w:val="99"/>
    <w:rsid w:val="00C452CA"/>
  </w:style>
  <w:style w:type="paragraph" w:styleId="ListParagraph">
    <w:name w:val="List Paragraph"/>
    <w:basedOn w:val="Normal"/>
    <w:uiPriority w:val="34"/>
    <w:qFormat/>
    <w:rsid w:val="00435ED9"/>
    <w:pPr>
      <w:ind w:left="720"/>
      <w:contextualSpacing/>
    </w:pPr>
  </w:style>
  <w:style w:type="paragraph" w:styleId="Revision">
    <w:name w:val="Revision"/>
    <w:hidden/>
    <w:uiPriority w:val="99"/>
    <w:semiHidden/>
    <w:rsid w:val="001F02A4"/>
    <w:pPr>
      <w:spacing w:after="0" w:line="240" w:lineRule="auto"/>
    </w:pPr>
  </w:style>
  <w:style w:type="character" w:styleId="CommentReference">
    <w:name w:val="annotation reference"/>
    <w:basedOn w:val="DefaultParagraphFont"/>
    <w:uiPriority w:val="99"/>
    <w:semiHidden/>
    <w:unhideWhenUsed/>
    <w:rsid w:val="005A0E3E"/>
    <w:rPr>
      <w:sz w:val="16"/>
      <w:szCs w:val="16"/>
    </w:rPr>
  </w:style>
  <w:style w:type="paragraph" w:styleId="CommentText">
    <w:name w:val="annotation text"/>
    <w:basedOn w:val="Normal"/>
    <w:link w:val="CommentTextChar"/>
    <w:uiPriority w:val="99"/>
    <w:unhideWhenUsed/>
    <w:rsid w:val="005A0E3E"/>
    <w:rPr>
      <w:sz w:val="20"/>
      <w:szCs w:val="20"/>
    </w:rPr>
  </w:style>
  <w:style w:type="character" w:customStyle="1" w:styleId="CommentTextChar">
    <w:name w:val="Comment Text Char"/>
    <w:basedOn w:val="DefaultParagraphFont"/>
    <w:link w:val="CommentText"/>
    <w:uiPriority w:val="99"/>
    <w:rsid w:val="005A0E3E"/>
    <w:rPr>
      <w:sz w:val="20"/>
      <w:szCs w:val="20"/>
    </w:rPr>
  </w:style>
  <w:style w:type="paragraph" w:styleId="CommentSubject">
    <w:name w:val="annotation subject"/>
    <w:basedOn w:val="CommentText"/>
    <w:next w:val="CommentText"/>
    <w:link w:val="CommentSubjectChar"/>
    <w:uiPriority w:val="99"/>
    <w:semiHidden/>
    <w:unhideWhenUsed/>
    <w:rsid w:val="005A0E3E"/>
    <w:rPr>
      <w:b/>
      <w:bCs/>
    </w:rPr>
  </w:style>
  <w:style w:type="character" w:customStyle="1" w:styleId="CommentSubjectChar">
    <w:name w:val="Comment Subject Char"/>
    <w:basedOn w:val="CommentTextChar"/>
    <w:link w:val="CommentSubject"/>
    <w:uiPriority w:val="99"/>
    <w:semiHidden/>
    <w:rsid w:val="005A0E3E"/>
    <w:rPr>
      <w:b/>
      <w:bCs/>
      <w:sz w:val="20"/>
      <w:szCs w:val="20"/>
    </w:rPr>
  </w:style>
  <w:style w:type="paragraph" w:styleId="FootnoteText">
    <w:name w:val="footnote text"/>
    <w:basedOn w:val="Normal"/>
    <w:link w:val="FootnoteTextChar"/>
    <w:uiPriority w:val="99"/>
    <w:semiHidden/>
    <w:unhideWhenUsed/>
    <w:rsid w:val="00654484"/>
    <w:pPr>
      <w:jc w:val="left"/>
    </w:pPr>
    <w:rPr>
      <w:rFonts w:asciiTheme="minorHAnsi" w:hAnsiTheme="minorHAnsi" w:cstheme="minorBidi"/>
      <w:kern w:val="2"/>
      <w:sz w:val="20"/>
      <w:szCs w:val="20"/>
      <w14:ligatures w14:val="standardContextual"/>
    </w:rPr>
  </w:style>
  <w:style w:type="character" w:customStyle="1" w:styleId="FootnoteTextChar">
    <w:name w:val="Footnote Text Char"/>
    <w:basedOn w:val="DefaultParagraphFont"/>
    <w:link w:val="FootnoteText"/>
    <w:uiPriority w:val="99"/>
    <w:semiHidden/>
    <w:rsid w:val="00654484"/>
    <w:rPr>
      <w:rFonts w:asciiTheme="minorHAnsi" w:hAnsiTheme="minorHAnsi" w:cstheme="minorBidi"/>
      <w:kern w:val="2"/>
      <w:sz w:val="20"/>
      <w:szCs w:val="20"/>
      <w14:ligatures w14:val="standardContextual"/>
    </w:rPr>
  </w:style>
  <w:style w:type="character" w:styleId="FootnoteReference">
    <w:name w:val="footnote reference"/>
    <w:basedOn w:val="DefaultParagraphFont"/>
    <w:uiPriority w:val="99"/>
    <w:semiHidden/>
    <w:unhideWhenUsed/>
    <w:rsid w:val="00654484"/>
    <w:rPr>
      <w:vertAlign w:val="superscript"/>
    </w:rPr>
  </w:style>
  <w:style w:type="paragraph" w:customStyle="1" w:styleId="Default">
    <w:name w:val="Default"/>
    <w:rsid w:val="009A7FAE"/>
    <w:pPr>
      <w:autoSpaceDE w:val="0"/>
      <w:autoSpaceDN w:val="0"/>
      <w:adjustRightInd w:val="0"/>
      <w:spacing w:after="0" w:line="240" w:lineRule="auto"/>
    </w:pPr>
    <w:rPr>
      <w:rFonts w:ascii="Arial" w:hAnsi="Arial" w:cs="Arial"/>
      <w:color w:val="000000"/>
      <w:szCs w:val="24"/>
      <w14:ligatures w14:val="standardContextual"/>
    </w:rPr>
  </w:style>
  <w:style w:type="paragraph" w:styleId="NormalWeb">
    <w:name w:val="Normal (Web)"/>
    <w:basedOn w:val="Normal"/>
    <w:uiPriority w:val="99"/>
    <w:unhideWhenUsed/>
    <w:rsid w:val="009A7FAE"/>
    <w:pPr>
      <w:spacing w:before="100" w:beforeAutospacing="1" w:after="100" w:afterAutospacing="1"/>
      <w:jc w:val="left"/>
    </w:pPr>
    <w:rPr>
      <w:rFonts w:eastAsia="Times New Roman"/>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94151">
      <w:bodyDiv w:val="1"/>
      <w:marLeft w:val="0"/>
      <w:marRight w:val="0"/>
      <w:marTop w:val="0"/>
      <w:marBottom w:val="0"/>
      <w:divBdr>
        <w:top w:val="none" w:sz="0" w:space="0" w:color="auto"/>
        <w:left w:val="none" w:sz="0" w:space="0" w:color="auto"/>
        <w:bottom w:val="none" w:sz="0" w:space="0" w:color="auto"/>
        <w:right w:val="none" w:sz="0" w:space="0" w:color="auto"/>
      </w:divBdr>
    </w:div>
    <w:div w:id="39593031">
      <w:bodyDiv w:val="1"/>
      <w:marLeft w:val="0"/>
      <w:marRight w:val="0"/>
      <w:marTop w:val="0"/>
      <w:marBottom w:val="0"/>
      <w:divBdr>
        <w:top w:val="none" w:sz="0" w:space="0" w:color="auto"/>
        <w:left w:val="none" w:sz="0" w:space="0" w:color="auto"/>
        <w:bottom w:val="none" w:sz="0" w:space="0" w:color="auto"/>
        <w:right w:val="none" w:sz="0" w:space="0" w:color="auto"/>
      </w:divBdr>
    </w:div>
    <w:div w:id="168066586">
      <w:bodyDiv w:val="1"/>
      <w:marLeft w:val="0"/>
      <w:marRight w:val="0"/>
      <w:marTop w:val="0"/>
      <w:marBottom w:val="0"/>
      <w:divBdr>
        <w:top w:val="none" w:sz="0" w:space="0" w:color="auto"/>
        <w:left w:val="none" w:sz="0" w:space="0" w:color="auto"/>
        <w:bottom w:val="none" w:sz="0" w:space="0" w:color="auto"/>
        <w:right w:val="none" w:sz="0" w:space="0" w:color="auto"/>
      </w:divBdr>
    </w:div>
    <w:div w:id="1669362701">
      <w:bodyDiv w:val="1"/>
      <w:marLeft w:val="0"/>
      <w:marRight w:val="0"/>
      <w:marTop w:val="0"/>
      <w:marBottom w:val="0"/>
      <w:divBdr>
        <w:top w:val="none" w:sz="0" w:space="0" w:color="auto"/>
        <w:left w:val="none" w:sz="0" w:space="0" w:color="auto"/>
        <w:bottom w:val="none" w:sz="0" w:space="0" w:color="auto"/>
        <w:right w:val="none" w:sz="0" w:space="0" w:color="auto"/>
      </w:divBdr>
    </w:div>
    <w:div w:id="1884056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CC03AE35655334DBB8763D4F4225943" ma:contentTypeVersion="13" ma:contentTypeDescription="Create a new document." ma:contentTypeScope="" ma:versionID="4dfca34892dac37a0fddd50937b934ae">
  <xsd:schema xmlns:xsd="http://www.w3.org/2001/XMLSchema" xmlns:xs="http://www.w3.org/2001/XMLSchema" xmlns:p="http://schemas.microsoft.com/office/2006/metadata/properties" xmlns:ns3="dcadcce1-f3db-447e-a933-99c762d6ec8a" xmlns:ns4="f64b62f0-0beb-4e23-9097-96992de3da3a" targetNamespace="http://schemas.microsoft.com/office/2006/metadata/properties" ma:root="true" ma:fieldsID="d582453798998d24fa2e2f08d1800b6c" ns3:_="" ns4:_="">
    <xsd:import namespace="dcadcce1-f3db-447e-a933-99c762d6ec8a"/>
    <xsd:import namespace="f64b62f0-0beb-4e23-9097-96992de3da3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dcce1-f3db-447e-a933-99c762d6ec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64b62f0-0beb-4e23-9097-96992de3da3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794746-DF18-4E8D-840B-7AD8C8154A9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DB34AE-BE92-41E4-B41E-5EEA9477DA2D}">
  <ds:schemaRefs>
    <ds:schemaRef ds:uri="http://schemas.openxmlformats.org/officeDocument/2006/bibliography"/>
  </ds:schemaRefs>
</ds:datastoreItem>
</file>

<file path=customXml/itemProps3.xml><?xml version="1.0" encoding="utf-8"?>
<ds:datastoreItem xmlns:ds="http://schemas.openxmlformats.org/officeDocument/2006/customXml" ds:itemID="{2B83A3B1-2D35-438C-8AFC-4FDE26A6F2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dcce1-f3db-447e-a933-99c762d6ec8a"/>
    <ds:schemaRef ds:uri="f64b62f0-0beb-4e23-9097-96992de3da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7795A1-0795-4E37-88B8-A5B475F7BC8B}">
  <ds:schemaRefs>
    <ds:schemaRef ds:uri="http://schemas.microsoft.com/sharepoint/v3/contenttype/forms"/>
  </ds:schemaRefs>
</ds:datastoreItem>
</file>

<file path=docMetadata/LabelInfo.xml><?xml version="1.0" encoding="utf-8"?>
<clbl:labelList xmlns:clbl="http://schemas.microsoft.com/office/2020/mipLabelMetadata">
  <clbl:label id="{57a85a10-258b-45b4-a519-c96c7721094c}" enabled="0" method="" siteId="{57a85a10-258b-45b4-a519-c96c7721094c}"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13</Pages>
  <Words>3565</Words>
  <Characters>20321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Debra Ellis</dc:creator>
  <cp:keywords/>
  <dc:description/>
  <cp:lastModifiedBy>Talley, Alisa - ARA</cp:lastModifiedBy>
  <cp:revision>3</cp:revision>
  <cp:lastPrinted>2022-10-18T23:35:00Z</cp:lastPrinted>
  <dcterms:created xsi:type="dcterms:W3CDTF">2024-05-16T21:39:00Z</dcterms:created>
  <dcterms:modified xsi:type="dcterms:W3CDTF">2024-05-16T21:42:00Z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0x0101007CC03AE35655334DBB8763D4F4225943</vt:lpwstr>
  </property>
</Properties>
</file>